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FD4FB">
      <w:pPr>
        <w:widowControl w:val="0"/>
        <w:adjustRightInd/>
        <w:snapToGrid/>
        <w:spacing w:after="0" w:line="240" w:lineRule="auto"/>
        <w:jc w:val="center"/>
        <w:rPr>
          <w:rFonts w:hint="eastAsia" w:ascii="楷体" w:hAnsi="楷体" w:eastAsia="楷体" w:cs="楷体"/>
          <w:b/>
          <w:bCs/>
          <w:kern w:val="2"/>
          <w:sz w:val="44"/>
          <w:szCs w:val="44"/>
          <w:lang w:val="en-US" w:eastAsia="zh-CN"/>
        </w:rPr>
      </w:pPr>
      <w:r>
        <w:rPr>
          <w:rFonts w:hint="eastAsia" w:ascii="楷体" w:hAnsi="楷体" w:eastAsia="楷体" w:cs="楷体"/>
          <w:b/>
          <w:bCs/>
          <w:kern w:val="2"/>
          <w:sz w:val="44"/>
          <w:szCs w:val="44"/>
          <w:lang w:val="en-US" w:eastAsia="zh-CN"/>
        </w:rPr>
        <w:t>成都市新都区第三人民医院</w:t>
      </w:r>
    </w:p>
    <w:p w14:paraId="7957F1A9">
      <w:pPr>
        <w:widowControl w:val="0"/>
        <w:adjustRightInd/>
        <w:snapToGrid/>
        <w:spacing w:after="0" w:line="240" w:lineRule="auto"/>
        <w:jc w:val="center"/>
        <w:rPr>
          <w:rFonts w:hint="default" w:ascii="楷体" w:hAnsi="楷体" w:eastAsia="楷体" w:cs="楷体"/>
          <w:b/>
          <w:bCs/>
          <w:kern w:val="2"/>
          <w:sz w:val="44"/>
          <w:szCs w:val="44"/>
          <w:lang w:val="en-US" w:eastAsia="zh-CN"/>
        </w:rPr>
      </w:pPr>
      <w:r>
        <w:rPr>
          <w:rFonts w:hint="eastAsia" w:ascii="楷体" w:hAnsi="楷体" w:eastAsia="楷体" w:cs="楷体"/>
          <w:b/>
          <w:bCs/>
          <w:kern w:val="2"/>
          <w:sz w:val="44"/>
          <w:szCs w:val="44"/>
          <w:lang w:val="en-US" w:eastAsia="zh-CN"/>
        </w:rPr>
        <w:t>2027年废水废气检测服务采购项目调研需求</w:t>
      </w:r>
    </w:p>
    <w:p w14:paraId="09BC8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2" w:firstLineChars="200"/>
        <w:textAlignment w:val="auto"/>
        <w:outlineLvl w:val="1"/>
        <w:rPr>
          <w:rFonts w:hint="eastAsia" w:ascii="仿宋" w:hAnsi="仿宋" w:eastAsia="仿宋" w:cs="仿宋"/>
          <w:b/>
          <w:bCs w:val="0"/>
          <w:color w:val="000000"/>
          <w:sz w:val="24"/>
          <w:szCs w:val="24"/>
          <w:highlight w:val="none"/>
          <w:lang w:val="en-US" w:eastAsia="zh-CN"/>
        </w:rPr>
      </w:pPr>
    </w:p>
    <w:p w14:paraId="170A2D23"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3" w:firstLineChars="200"/>
        <w:textAlignment w:val="auto"/>
        <w:outlineLvl w:val="1"/>
        <w:rPr>
          <w:rFonts w:hint="eastAsia" w:ascii="仿宋" w:hAnsi="仿宋" w:eastAsia="仿宋" w:cs="仿宋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2"/>
          <w:szCs w:val="32"/>
          <w:highlight w:val="none"/>
          <w:lang w:val="en-US" w:eastAsia="zh-CN"/>
        </w:rPr>
        <w:t>服务</w:t>
      </w:r>
      <w:bookmarkStart w:id="0" w:name="_GoBack"/>
      <w:bookmarkEnd w:id="0"/>
      <w:r>
        <w:rPr>
          <w:rFonts w:hint="eastAsia" w:ascii="仿宋" w:hAnsi="仿宋" w:eastAsia="仿宋" w:cs="仿宋"/>
          <w:b/>
          <w:bCs w:val="0"/>
          <w:color w:val="auto"/>
          <w:sz w:val="32"/>
          <w:szCs w:val="32"/>
          <w:highlight w:val="none"/>
          <w:lang w:val="en-US" w:eastAsia="zh-CN"/>
        </w:rPr>
        <w:t>内容</w:t>
      </w:r>
    </w:p>
    <w:p w14:paraId="63C70BCD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outlineLvl w:val="1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val="en-US" w:eastAsia="zh-CN"/>
        </w:rPr>
        <w:t>（一）检测清单</w:t>
      </w:r>
    </w:p>
    <w:tbl>
      <w:tblPr>
        <w:tblStyle w:val="6"/>
        <w:tblW w:w="508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3869"/>
        <w:gridCol w:w="1159"/>
        <w:gridCol w:w="1200"/>
        <w:gridCol w:w="1077"/>
      </w:tblGrid>
      <w:tr w14:paraId="59500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367" w:type="dxa"/>
            <w:noWrap w:val="0"/>
            <w:vAlign w:val="center"/>
          </w:tcPr>
          <w:p w14:paraId="5AAA6E75">
            <w:pPr>
              <w:pStyle w:val="11"/>
              <w:spacing w:before="34" w:line="18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highlight w:val="none"/>
              </w:rPr>
              <w:t>服务</w:t>
            </w:r>
            <w:r>
              <w:rPr>
                <w:rFonts w:hint="eastAsia" w:ascii="仿宋" w:hAnsi="仿宋" w:eastAsia="仿宋" w:cs="仿宋"/>
                <w:color w:val="auto"/>
                <w:spacing w:val="-2"/>
                <w:highlight w:val="none"/>
                <w:lang w:val="en-US" w:eastAsia="zh-CN"/>
              </w:rPr>
              <w:t>内容</w:t>
            </w:r>
          </w:p>
        </w:tc>
        <w:tc>
          <w:tcPr>
            <w:tcW w:w="3869" w:type="dxa"/>
            <w:noWrap w:val="0"/>
            <w:vAlign w:val="center"/>
          </w:tcPr>
          <w:p w14:paraId="29CD7557">
            <w:pPr>
              <w:pStyle w:val="11"/>
              <w:spacing w:before="34" w:line="18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highlight w:val="none"/>
              </w:rPr>
              <w:t>项目指标</w:t>
            </w:r>
          </w:p>
        </w:tc>
        <w:tc>
          <w:tcPr>
            <w:tcW w:w="1159" w:type="dxa"/>
            <w:noWrap w:val="0"/>
            <w:vAlign w:val="center"/>
          </w:tcPr>
          <w:p w14:paraId="6ACE4D63">
            <w:pPr>
              <w:pStyle w:val="11"/>
              <w:spacing w:before="34" w:line="18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10"/>
                <w:highlight w:val="none"/>
              </w:rPr>
              <w:t>点数</w:t>
            </w:r>
          </w:p>
        </w:tc>
        <w:tc>
          <w:tcPr>
            <w:tcW w:w="1200" w:type="dxa"/>
            <w:noWrap w:val="0"/>
            <w:vAlign w:val="center"/>
          </w:tcPr>
          <w:p w14:paraId="291FE512">
            <w:pPr>
              <w:pStyle w:val="11"/>
              <w:spacing w:before="34" w:line="18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highlight w:val="none"/>
              </w:rPr>
              <w:t>频次</w:t>
            </w:r>
          </w:p>
        </w:tc>
        <w:tc>
          <w:tcPr>
            <w:tcW w:w="1077" w:type="dxa"/>
            <w:noWrap w:val="0"/>
            <w:vAlign w:val="center"/>
          </w:tcPr>
          <w:p w14:paraId="7A35C3AA">
            <w:pPr>
              <w:pStyle w:val="11"/>
              <w:spacing w:before="34" w:line="18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highlight w:val="none"/>
              </w:rPr>
              <w:t>次/年</w:t>
            </w:r>
          </w:p>
        </w:tc>
      </w:tr>
      <w:tr w14:paraId="0C5AC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367" w:type="dxa"/>
            <w:noWrap w:val="0"/>
            <w:vAlign w:val="center"/>
          </w:tcPr>
          <w:p w14:paraId="1036228A">
            <w:pPr>
              <w:pStyle w:val="11"/>
              <w:spacing w:before="80" w:line="224" w:lineRule="auto"/>
              <w:ind w:right="44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highlight w:val="none"/>
              </w:rPr>
              <w:t>污水处理</w:t>
            </w:r>
            <w:r>
              <w:rPr>
                <w:rFonts w:hint="eastAsia" w:ascii="仿宋" w:hAnsi="仿宋" w:eastAsia="仿宋" w:cs="仿宋"/>
                <w:color w:val="auto"/>
                <w:spacing w:val="-2"/>
                <w:highlight w:val="none"/>
                <w:lang w:val="en-US" w:eastAsia="zh-CN"/>
              </w:rPr>
              <w:t>站</w:t>
            </w:r>
            <w:r>
              <w:rPr>
                <w:rFonts w:hint="eastAsia" w:ascii="仿宋" w:hAnsi="仿宋" w:eastAsia="仿宋" w:cs="仿宋"/>
                <w:color w:val="auto"/>
                <w:spacing w:val="-3"/>
                <w:highlight w:val="none"/>
              </w:rPr>
              <w:t>废气</w:t>
            </w:r>
          </w:p>
        </w:tc>
        <w:tc>
          <w:tcPr>
            <w:tcW w:w="3869" w:type="dxa"/>
            <w:noWrap w:val="0"/>
            <w:vAlign w:val="center"/>
          </w:tcPr>
          <w:p w14:paraId="1AB669C4">
            <w:pPr>
              <w:pStyle w:val="11"/>
              <w:spacing w:before="217" w:line="21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1"/>
                <w:highlight w:val="none"/>
              </w:rPr>
              <w:t>臭气浓度、氨、</w:t>
            </w:r>
            <w:r>
              <w:rPr>
                <w:rFonts w:hint="eastAsia" w:ascii="仿宋" w:hAnsi="仿宋" w:eastAsia="仿宋" w:cs="仿宋"/>
                <w:color w:val="auto"/>
                <w:spacing w:val="-1"/>
                <w:highlight w:val="none"/>
                <w:lang w:eastAsia="zh-CN"/>
              </w:rPr>
              <w:t>硫化氢</w:t>
            </w:r>
          </w:p>
        </w:tc>
        <w:tc>
          <w:tcPr>
            <w:tcW w:w="1159" w:type="dxa"/>
            <w:noWrap w:val="0"/>
            <w:vAlign w:val="center"/>
          </w:tcPr>
          <w:p w14:paraId="30B84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noWrap w:val="0"/>
            <w:vAlign w:val="center"/>
          </w:tcPr>
          <w:p w14:paraId="6B781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77" w:type="dxa"/>
            <w:noWrap w:val="0"/>
            <w:vAlign w:val="center"/>
          </w:tcPr>
          <w:p w14:paraId="1A218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</w:tr>
      <w:tr w14:paraId="3A001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1367" w:type="dxa"/>
            <w:vMerge w:val="restart"/>
            <w:noWrap w:val="0"/>
            <w:vAlign w:val="center"/>
          </w:tcPr>
          <w:p w14:paraId="2934C7DB">
            <w:pPr>
              <w:pStyle w:val="11"/>
              <w:spacing w:before="72" w:line="232" w:lineRule="auto"/>
              <w:ind w:right="44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highlight w:val="none"/>
              </w:rPr>
              <w:t>废水总排</w:t>
            </w: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口</w:t>
            </w:r>
          </w:p>
        </w:tc>
        <w:tc>
          <w:tcPr>
            <w:tcW w:w="3869" w:type="dxa"/>
            <w:noWrap w:val="0"/>
            <w:vAlign w:val="center"/>
          </w:tcPr>
          <w:p w14:paraId="02808379">
            <w:pPr>
              <w:pStyle w:val="11"/>
              <w:spacing w:before="27" w:line="22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PH、色度、</w:t>
            </w:r>
            <w:r>
              <w:rPr>
                <w:rFonts w:hint="eastAsia" w:ascii="仿宋" w:hAnsi="仿宋" w:eastAsia="仿宋" w:cs="仿宋"/>
                <w:color w:val="auto"/>
                <w:highlight w:val="none"/>
                <w:lang w:eastAsia="zh-CN"/>
              </w:rPr>
              <w:t>悬浮物、</w:t>
            </w: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BOD5、CODcr、阴离子表面活性</w:t>
            </w:r>
            <w:r>
              <w:rPr>
                <w:rFonts w:hint="eastAsia" w:ascii="仿宋" w:hAnsi="仿宋" w:eastAsia="仿宋" w:cs="仿宋"/>
                <w:color w:val="auto"/>
                <w:highlight w:val="none"/>
                <w:lang w:eastAsia="zh-CN"/>
              </w:rPr>
              <w:t>、氨氮</w:t>
            </w: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、石油类、动植物</w:t>
            </w:r>
            <w:r>
              <w:rPr>
                <w:rFonts w:hint="eastAsia" w:ascii="仿宋" w:hAnsi="仿宋" w:eastAsia="仿宋" w:cs="仿宋"/>
                <w:color w:val="auto"/>
                <w:spacing w:val="-1"/>
                <w:highlight w:val="none"/>
              </w:rPr>
              <w:t>油、挥发酚、总氰化物</w:t>
            </w:r>
            <w:r>
              <w:rPr>
                <w:rFonts w:hint="eastAsia" w:ascii="仿宋" w:hAnsi="仿宋" w:eastAsia="仿宋" w:cs="仿宋"/>
                <w:color w:val="auto"/>
                <w:spacing w:val="-1"/>
                <w:highlight w:val="none"/>
                <w:lang w:eastAsia="zh-CN"/>
              </w:rPr>
              <w:t>、流量、总余氯、</w:t>
            </w:r>
            <w:r>
              <w:rPr>
                <w:rFonts w:hint="eastAsia" w:ascii="仿宋" w:hAnsi="仿宋" w:eastAsia="仿宋" w:cs="仿宋"/>
                <w:color w:val="auto"/>
                <w:spacing w:val="-1"/>
                <w:highlight w:val="none"/>
              </w:rPr>
              <w:t>粪大肠菌群</w:t>
            </w:r>
            <w:r>
              <w:rPr>
                <w:rFonts w:hint="eastAsia" w:ascii="仿宋" w:hAnsi="仿宋" w:eastAsia="仿宋" w:cs="仿宋"/>
                <w:color w:val="auto"/>
                <w:spacing w:val="-1"/>
                <w:highlight w:val="none"/>
                <w:lang w:eastAsia="zh-CN"/>
              </w:rPr>
              <w:t>、肠道致病菌、肠道病毒</w:t>
            </w:r>
          </w:p>
        </w:tc>
        <w:tc>
          <w:tcPr>
            <w:tcW w:w="1159" w:type="dxa"/>
            <w:noWrap w:val="0"/>
            <w:vAlign w:val="center"/>
          </w:tcPr>
          <w:p w14:paraId="17814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noWrap w:val="0"/>
            <w:vAlign w:val="center"/>
          </w:tcPr>
          <w:p w14:paraId="583A0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77" w:type="dxa"/>
            <w:noWrap w:val="0"/>
            <w:vAlign w:val="center"/>
          </w:tcPr>
          <w:p w14:paraId="04C03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</w:tr>
      <w:tr w14:paraId="6B7E7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367" w:type="dxa"/>
            <w:vMerge w:val="continue"/>
            <w:noWrap w:val="0"/>
            <w:vAlign w:val="center"/>
          </w:tcPr>
          <w:p w14:paraId="1CFAC2F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869" w:type="dxa"/>
            <w:noWrap w:val="0"/>
            <w:vAlign w:val="center"/>
          </w:tcPr>
          <w:p w14:paraId="2AFD6102">
            <w:pPr>
              <w:pStyle w:val="11"/>
              <w:spacing w:before="185" w:line="21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1"/>
                <w:highlight w:val="none"/>
              </w:rPr>
              <w:t>粪大肠菌群</w:t>
            </w:r>
            <w:r>
              <w:rPr>
                <w:rFonts w:hint="eastAsia" w:ascii="仿宋" w:hAnsi="仿宋" w:eastAsia="仿宋" w:cs="仿宋"/>
                <w:color w:val="auto"/>
                <w:spacing w:val="-1"/>
                <w:highlight w:val="none"/>
                <w:lang w:eastAsia="zh-CN"/>
              </w:rPr>
              <w:t>、肠道致病菌、肠道病毒</w:t>
            </w:r>
          </w:p>
        </w:tc>
        <w:tc>
          <w:tcPr>
            <w:tcW w:w="1159" w:type="dxa"/>
            <w:noWrap w:val="0"/>
            <w:vAlign w:val="center"/>
          </w:tcPr>
          <w:p w14:paraId="07651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noWrap w:val="0"/>
            <w:vAlign w:val="center"/>
          </w:tcPr>
          <w:p w14:paraId="14EE3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77" w:type="dxa"/>
            <w:noWrap w:val="0"/>
            <w:vAlign w:val="center"/>
          </w:tcPr>
          <w:p w14:paraId="5F0F6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8</w:t>
            </w:r>
          </w:p>
        </w:tc>
      </w:tr>
      <w:tr w14:paraId="5DD93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367" w:type="dxa"/>
            <w:noWrap w:val="0"/>
            <w:vAlign w:val="center"/>
          </w:tcPr>
          <w:p w14:paraId="69E56F1D">
            <w:pPr>
              <w:pStyle w:val="11"/>
              <w:spacing w:before="186" w:line="22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highlight w:val="none"/>
              </w:rPr>
              <w:t>厂界噪声</w:t>
            </w:r>
          </w:p>
        </w:tc>
        <w:tc>
          <w:tcPr>
            <w:tcW w:w="3869" w:type="dxa"/>
            <w:noWrap w:val="0"/>
            <w:vAlign w:val="center"/>
          </w:tcPr>
          <w:p w14:paraId="31207108">
            <w:pPr>
              <w:pStyle w:val="11"/>
              <w:spacing w:before="186" w:line="21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highlight w:val="none"/>
              </w:rPr>
              <w:t>噪声（昼夜）</w:t>
            </w:r>
          </w:p>
        </w:tc>
        <w:tc>
          <w:tcPr>
            <w:tcW w:w="1159" w:type="dxa"/>
            <w:noWrap w:val="0"/>
            <w:vAlign w:val="center"/>
          </w:tcPr>
          <w:p w14:paraId="0798B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200" w:type="dxa"/>
            <w:noWrap w:val="0"/>
            <w:vAlign w:val="center"/>
          </w:tcPr>
          <w:p w14:paraId="75FBD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77" w:type="dxa"/>
            <w:noWrap w:val="0"/>
            <w:vAlign w:val="center"/>
          </w:tcPr>
          <w:p w14:paraId="7B325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</w:t>
            </w:r>
          </w:p>
        </w:tc>
      </w:tr>
      <w:tr w14:paraId="65EB1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367" w:type="dxa"/>
            <w:noWrap w:val="0"/>
            <w:vAlign w:val="center"/>
          </w:tcPr>
          <w:p w14:paraId="58F1955B">
            <w:pPr>
              <w:pStyle w:val="11"/>
              <w:spacing w:before="186" w:line="220" w:lineRule="auto"/>
              <w:jc w:val="center"/>
              <w:rPr>
                <w:rFonts w:hint="eastAsia" w:ascii="仿宋" w:hAnsi="仿宋" w:eastAsia="仿宋" w:cs="仿宋"/>
                <w:color w:val="auto"/>
                <w:spacing w:val="-3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highlight w:val="none"/>
                <w:lang w:eastAsia="zh-CN"/>
              </w:rPr>
              <w:t>病理科</w:t>
            </w:r>
          </w:p>
        </w:tc>
        <w:tc>
          <w:tcPr>
            <w:tcW w:w="3869" w:type="dxa"/>
            <w:noWrap w:val="0"/>
            <w:vAlign w:val="center"/>
          </w:tcPr>
          <w:p w14:paraId="129AC0AD">
            <w:pPr>
              <w:pStyle w:val="11"/>
              <w:spacing w:before="186" w:line="219" w:lineRule="auto"/>
              <w:jc w:val="center"/>
              <w:rPr>
                <w:rFonts w:hint="eastAsia" w:ascii="仿宋" w:hAnsi="仿宋" w:eastAsia="仿宋" w:cs="仿宋"/>
                <w:color w:val="auto"/>
                <w:spacing w:val="-3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highlight w:val="none"/>
                <w:lang w:eastAsia="zh-CN"/>
              </w:rPr>
              <w:t>甲醛浓度</w:t>
            </w:r>
          </w:p>
        </w:tc>
        <w:tc>
          <w:tcPr>
            <w:tcW w:w="1159" w:type="dxa"/>
            <w:noWrap w:val="0"/>
            <w:vAlign w:val="center"/>
          </w:tcPr>
          <w:p w14:paraId="0AE8C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200" w:type="dxa"/>
            <w:noWrap w:val="0"/>
            <w:vAlign w:val="center"/>
          </w:tcPr>
          <w:p w14:paraId="055B0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77" w:type="dxa"/>
            <w:noWrap w:val="0"/>
            <w:vAlign w:val="center"/>
          </w:tcPr>
          <w:p w14:paraId="5BA8D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</w:t>
            </w:r>
          </w:p>
        </w:tc>
      </w:tr>
    </w:tbl>
    <w:p w14:paraId="74BBC5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1"/>
          <w:szCs w:val="21"/>
          <w:lang w:val="en-US" w:eastAsia="zh-CN"/>
        </w:rPr>
        <w:t>注：采样、分析严格执行《医疗机构水污染物排放标准》（GB18466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1"/>
          <w:szCs w:val="21"/>
          <w:lang w:val="en-US" w:eastAsia="zh-CN"/>
        </w:rPr>
        <w:noBreakHyphen/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1"/>
          <w:szCs w:val="21"/>
          <w:lang w:val="en-US" w:eastAsia="zh-CN"/>
        </w:rPr>
        <w:t>2005）、《工业企业厂界环境噪声排放标准》（GB12348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1"/>
          <w:szCs w:val="21"/>
          <w:lang w:val="en-US" w:eastAsia="zh-CN"/>
        </w:rPr>
        <w:noBreakHyphen/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1"/>
          <w:szCs w:val="21"/>
          <w:lang w:val="en-US" w:eastAsia="zh-CN"/>
        </w:rPr>
        <w:t>2008）、《恶臭污染物排放标准》（GB14554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1"/>
          <w:szCs w:val="21"/>
          <w:lang w:val="en-US" w:eastAsia="zh-CN"/>
        </w:rPr>
        <w:noBreakHyphen/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1"/>
          <w:szCs w:val="21"/>
          <w:lang w:val="en-US" w:eastAsia="zh-CN"/>
        </w:rPr>
        <w:t>93）及排污许可证相关技术规范等现行有效国家标准、行业规范。</w:t>
      </w:r>
    </w:p>
    <w:p w14:paraId="50D33E3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/>
        </w:rPr>
        <w:t>专业技术能力要求</w:t>
      </w:r>
    </w:p>
    <w:p w14:paraId="0C8BBA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/>
        </w:rPr>
        <w:t>1.人员配置：供应商拟派的服务人员能按照医院废水废气相关要求，完成检测任务，并主动查询了解采购人在“全国排污许可证管理信息平台”上的相关信息；须针对本项目配备专门的项目联系人员。</w:t>
      </w:r>
    </w:p>
    <w:p w14:paraId="04AA44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/>
        </w:rPr>
        <w:t>2.设备与实验室：供应商用于本项目的采样设备和实验室分析仪器必须按期检定/校准，并在有效期内。合同签订前提供主要设备清单及校准证书复印件备案。</w:t>
      </w:r>
    </w:p>
    <w:p w14:paraId="38E7B4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/>
        </w:rPr>
        <w:t>（三）其他要求</w:t>
      </w:r>
    </w:p>
    <w:p w14:paraId="25BC86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/>
        </w:rPr>
        <w:t>1.检测报告须保证及时性、完整性、准确性，必须符合国家相关法律法规和标准规范的要求，报告首页或结论页必须加盖CMA标志印章。</w:t>
      </w:r>
    </w:p>
    <w:p w14:paraId="3B9E3B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/>
        </w:rPr>
        <w:t>2.报告内容须包含详尽的采样信息、明确的分析方法和依据、清晰的检测结果与标准限值对比以及明确的合规性结论，并附现场采集照片。</w:t>
      </w:r>
    </w:p>
    <w:p w14:paraId="5FDD8F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/>
        </w:rPr>
        <w:t>3.因供应商检测工作失误、报告缺项漏项、数据失真、报告不合规，给采购人带来行政处罚、环保通报、经济损失等不良后果，全部责任与经济赔偿由供应商承担，包括但不限于行政罚金、相关处置费用。</w:t>
      </w:r>
    </w:p>
    <w:p w14:paraId="67BEC7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/>
        </w:rPr>
        <w:t>4.若国家、地方标准或排污许可证监测要求发生调整，供应商应及时调整检测方案，保障监测工作合规。</w:t>
      </w:r>
    </w:p>
    <w:p w14:paraId="3F473D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/>
        </w:rPr>
        <w:t>5.完成现场采样后，按约定时限提交最少2套纸质版报告及电子版报告。</w:t>
      </w:r>
    </w:p>
    <w:p w14:paraId="351153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right="0" w:rightChars="0" w:firstLine="640" w:firstLineChars="200"/>
        <w:textAlignment w:val="auto"/>
        <w:rPr>
          <w:rFonts w:hint="default" w:ascii="仿宋" w:hAnsi="仿宋" w:eastAsia="微软雅黑" w:cs="仿宋"/>
          <w:color w:val="auto"/>
          <w:sz w:val="32"/>
          <w:szCs w:val="32"/>
          <w:highlight w:val="none"/>
          <w:lang w:val="en-US" w:eastAsia="zh-CN"/>
        </w:rPr>
      </w:pPr>
    </w:p>
    <w:p w14:paraId="6E9934F9">
      <w:pPr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after="0" w:line="360" w:lineRule="auto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注：本项目的具体需求以采购文件为准。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37474A"/>
    <w:multiLevelType w:val="singleLevel"/>
    <w:tmpl w:val="4437474A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76813DBC"/>
    <w:multiLevelType w:val="singleLevel"/>
    <w:tmpl w:val="76813DB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00D31D50"/>
    <w:rsid w:val="00323B43"/>
    <w:rsid w:val="00375F20"/>
    <w:rsid w:val="003D37D8"/>
    <w:rsid w:val="00426133"/>
    <w:rsid w:val="004358AB"/>
    <w:rsid w:val="007B0235"/>
    <w:rsid w:val="008B7726"/>
    <w:rsid w:val="00D31D50"/>
    <w:rsid w:val="00D70CAF"/>
    <w:rsid w:val="038B095A"/>
    <w:rsid w:val="04670CD6"/>
    <w:rsid w:val="08BC53C1"/>
    <w:rsid w:val="09AF4121"/>
    <w:rsid w:val="0C1B3CF0"/>
    <w:rsid w:val="0CFD30AB"/>
    <w:rsid w:val="0F8D76BC"/>
    <w:rsid w:val="1033262A"/>
    <w:rsid w:val="110753C8"/>
    <w:rsid w:val="11EA1139"/>
    <w:rsid w:val="14F06300"/>
    <w:rsid w:val="17822189"/>
    <w:rsid w:val="1ADB2826"/>
    <w:rsid w:val="1C893FC1"/>
    <w:rsid w:val="1D021927"/>
    <w:rsid w:val="1F26151A"/>
    <w:rsid w:val="1F6910FD"/>
    <w:rsid w:val="21C63E2A"/>
    <w:rsid w:val="34505558"/>
    <w:rsid w:val="35383B23"/>
    <w:rsid w:val="378F705B"/>
    <w:rsid w:val="3DAA2F66"/>
    <w:rsid w:val="3F5178EA"/>
    <w:rsid w:val="400961F2"/>
    <w:rsid w:val="4AE933B2"/>
    <w:rsid w:val="4CFB302C"/>
    <w:rsid w:val="4FB87599"/>
    <w:rsid w:val="520C62B3"/>
    <w:rsid w:val="5B6E3DD2"/>
    <w:rsid w:val="5D4957FB"/>
    <w:rsid w:val="5F6F2FDC"/>
    <w:rsid w:val="60F2099E"/>
    <w:rsid w:val="63D460D2"/>
    <w:rsid w:val="675D60DF"/>
    <w:rsid w:val="68BC0AAA"/>
    <w:rsid w:val="698C64DC"/>
    <w:rsid w:val="69DF102E"/>
    <w:rsid w:val="6A042842"/>
    <w:rsid w:val="6B700397"/>
    <w:rsid w:val="6DF74D4E"/>
    <w:rsid w:val="6E0E51A9"/>
    <w:rsid w:val="6F345300"/>
    <w:rsid w:val="7020326A"/>
    <w:rsid w:val="719E532A"/>
    <w:rsid w:val="73A13E0C"/>
    <w:rsid w:val="748E1122"/>
    <w:rsid w:val="79A27982"/>
    <w:rsid w:val="7B5D73F5"/>
    <w:rsid w:val="7CFE1B46"/>
    <w:rsid w:val="7FD5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ind w:firstLine="200" w:firstLineChars="200"/>
      <w:outlineLvl w:val="1"/>
    </w:pPr>
    <w:rPr>
      <w:rFonts w:ascii="Arial" w:hAnsi="Arial" w:eastAsia="黑体"/>
      <w:b/>
      <w:szCs w:val="2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next w:val="1"/>
    <w:qFormat/>
    <w:uiPriority w:val="0"/>
    <w:rPr>
      <w:rFonts w:eastAsia="宋体"/>
      <w:sz w:val="18"/>
    </w:rPr>
  </w:style>
  <w:style w:type="paragraph" w:styleId="5">
    <w:name w:val="Body Text First Indent"/>
    <w:basedOn w:val="4"/>
    <w:qFormat/>
    <w:uiPriority w:val="0"/>
    <w:pPr>
      <w:spacing w:before="60"/>
      <w:ind w:firstLine="420" w:firstLineChars="100"/>
      <w:jc w:val="left"/>
    </w:pPr>
    <w:rPr>
      <w:rFonts w:ascii="宋体" w:eastAsia="Times New Roman"/>
      <w:b/>
      <w:sz w:val="24"/>
    </w:rPr>
  </w:style>
  <w:style w:type="paragraph" w:customStyle="1" w:styleId="8">
    <w:name w:val="表格文字"/>
    <w:qFormat/>
    <w:uiPriority w:val="0"/>
    <w:pPr>
      <w:widowControl w:val="0"/>
      <w:suppressAutoHyphens/>
      <w:spacing w:before="25" w:after="25"/>
    </w:pPr>
    <w:rPr>
      <w:rFonts w:ascii="Calibri" w:hAnsi="Calibri" w:eastAsia="宋体" w:cs="Times New Roman"/>
      <w:bCs/>
      <w:spacing w:val="10"/>
      <w:sz w:val="24"/>
      <w:szCs w:val="24"/>
      <w:lang w:val="en-US" w:eastAsia="zh-CN" w:bidi="ar-SA"/>
    </w:rPr>
  </w:style>
  <w:style w:type="paragraph" w:customStyle="1" w:styleId="9">
    <w:name w:val="Body text|1"/>
    <w:basedOn w:val="1"/>
    <w:qFormat/>
    <w:uiPriority w:val="0"/>
    <w:pPr>
      <w:spacing w:line="406" w:lineRule="auto"/>
      <w:ind w:firstLine="400"/>
    </w:pPr>
    <w:rPr>
      <w:rFonts w:ascii="宋体" w:hAnsi="宋体" w:cs="宋体"/>
      <w:lang w:val="zh-TW" w:eastAsia="zh-TW" w:bidi="zh-TW"/>
    </w:rPr>
  </w:style>
  <w:style w:type="paragraph" w:customStyle="1" w:styleId="10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759</Words>
  <Characters>810</Characters>
  <Lines>1</Lines>
  <Paragraphs>1</Paragraphs>
  <TotalTime>40</TotalTime>
  <ScaleCrop>false</ScaleCrop>
  <LinksUpToDate>false</LinksUpToDate>
  <CharactersWithSpaces>810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志朋</cp:lastModifiedBy>
  <dcterms:modified xsi:type="dcterms:W3CDTF">2026-09-20T06:57:29Z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1CC0023FC22243F78C380763700BA91A_13</vt:lpwstr>
  </property>
  <property fmtid="{D5CDD505-2E9C-101B-9397-08002B2CF9AE}" pid="4" name="KSOTemplateDocerSaveRecord">
    <vt:lpwstr>eyJoZGlkIjoiY2NiY2IxNDFkY2Q2ZjBiNDQ1OWFjNDVlYTY1NjM2YmMiLCJ1c2VySWQiOiIyNzM1MjA4NTQifQ==</vt:lpwstr>
  </property>
</Properties>
</file>