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D209F">
      <w:pPr>
        <w:widowControl w:val="0"/>
        <w:adjustRightInd/>
        <w:snapToGrid/>
        <w:spacing w:after="0" w:line="240" w:lineRule="auto"/>
        <w:jc w:val="center"/>
        <w:rPr>
          <w:rFonts w:hint="eastAsia" w:ascii="楷体" w:hAnsi="楷体" w:eastAsia="楷体" w:cs="楷体"/>
          <w:b/>
          <w:bCs/>
          <w:kern w:val="2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2"/>
          <w:sz w:val="44"/>
          <w:szCs w:val="44"/>
          <w:lang w:val="en-US" w:eastAsia="zh-CN"/>
        </w:rPr>
        <w:t>成都市新都区第三人民医院</w:t>
      </w:r>
    </w:p>
    <w:p w14:paraId="6DA0961D">
      <w:pPr>
        <w:widowControl w:val="0"/>
        <w:adjustRightInd/>
        <w:snapToGrid/>
        <w:spacing w:after="0" w:line="240" w:lineRule="auto"/>
        <w:jc w:val="center"/>
        <w:rPr>
          <w:rFonts w:hint="default" w:ascii="楷体" w:hAnsi="楷体" w:eastAsia="楷体" w:cs="楷体"/>
          <w:b/>
          <w:bCs/>
          <w:kern w:val="2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2"/>
          <w:sz w:val="44"/>
          <w:szCs w:val="44"/>
          <w:lang w:val="en-US" w:eastAsia="zh-CN"/>
        </w:rPr>
        <w:t>设备带采购项目调研需求</w:t>
      </w:r>
    </w:p>
    <w:p w14:paraId="4A8B0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2" w:firstLineChars="200"/>
        <w:textAlignment w:val="auto"/>
        <w:outlineLvl w:val="1"/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highlight w:val="none"/>
          <w:lang w:val="en-US" w:eastAsia="zh-CN"/>
        </w:rPr>
      </w:pPr>
    </w:p>
    <w:p w14:paraId="595D970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textAlignment w:val="auto"/>
        <w:outlineLvl w:val="1"/>
        <w:rPr>
          <w:rFonts w:hint="eastAsia" w:ascii="方正仿宋简体" w:hAnsi="方正仿宋简体" w:eastAsia="方正仿宋简体" w:cs="方正仿宋简体"/>
          <w:b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 w:val="0"/>
          <w:color w:val="auto"/>
          <w:sz w:val="24"/>
          <w:szCs w:val="24"/>
          <w:highlight w:val="none"/>
          <w:lang w:val="en-US" w:eastAsia="zh-CN"/>
        </w:rPr>
        <w:t>一、需求</w:t>
      </w:r>
    </w:p>
    <w:p w14:paraId="30378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480" w:firstLineChars="200"/>
        <w:textAlignment w:val="auto"/>
        <w:rPr>
          <w:rFonts w:hint="eastAsia" w:ascii="方正仿宋简体" w:hAnsi="方正仿宋简体" w:eastAsia="方正仿宋简体" w:cs="方正仿宋简体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（一）购置清单及技术参数要求</w:t>
      </w:r>
    </w:p>
    <w:tbl>
      <w:tblPr>
        <w:tblStyle w:val="9"/>
        <w:tblW w:w="8572" w:type="dxa"/>
        <w:tblInd w:w="-2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1320"/>
        <w:gridCol w:w="4004"/>
        <w:gridCol w:w="1217"/>
        <w:gridCol w:w="1133"/>
      </w:tblGrid>
      <w:tr w14:paraId="3DACF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898" w:type="dxa"/>
            <w:noWrap w:val="0"/>
            <w:vAlign w:val="center"/>
          </w:tcPr>
          <w:p w14:paraId="234DAC2D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20" w:type="dxa"/>
            <w:noWrap w:val="0"/>
            <w:vAlign w:val="center"/>
          </w:tcPr>
          <w:p w14:paraId="3880914B">
            <w:pPr>
              <w:pStyle w:val="6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4004" w:type="dxa"/>
            <w:noWrap w:val="0"/>
            <w:vAlign w:val="center"/>
          </w:tcPr>
          <w:p w14:paraId="3100D7FE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技术参数要求</w:t>
            </w:r>
          </w:p>
        </w:tc>
        <w:tc>
          <w:tcPr>
            <w:tcW w:w="1217" w:type="dxa"/>
            <w:noWrap w:val="0"/>
            <w:vAlign w:val="center"/>
          </w:tcPr>
          <w:p w14:paraId="639B2DEC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133" w:type="dxa"/>
            <w:noWrap w:val="0"/>
            <w:vAlign w:val="center"/>
          </w:tcPr>
          <w:p w14:paraId="75E0CD6F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szCs w:val="24"/>
                <w:lang w:val="en-US" w:eastAsia="zh-CN"/>
              </w:rPr>
              <w:t>数量</w:t>
            </w:r>
          </w:p>
        </w:tc>
      </w:tr>
      <w:tr w14:paraId="5655E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</w:trPr>
        <w:tc>
          <w:tcPr>
            <w:tcW w:w="898" w:type="dxa"/>
            <w:noWrap/>
            <w:vAlign w:val="center"/>
          </w:tcPr>
          <w:p w14:paraId="3FBD44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noWrap/>
            <w:vAlign w:val="center"/>
          </w:tcPr>
          <w:p w14:paraId="6EE339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氧气主管</w:t>
            </w:r>
          </w:p>
        </w:tc>
        <w:tc>
          <w:tcPr>
            <w:tcW w:w="4004" w:type="dxa"/>
            <w:noWrap/>
            <w:vAlign w:val="center"/>
          </w:tcPr>
          <w:p w14:paraId="35C92751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规格：外径16mm，壁厚2mm；3. 承压能力：≥1.6MPa；4. 内外表面光洁度：Ra≤0.8μm；5. 耐腐蚀性能：符合医用流体输送要求，无有害物质析出</w:t>
            </w:r>
          </w:p>
        </w:tc>
        <w:tc>
          <w:tcPr>
            <w:tcW w:w="1217" w:type="dxa"/>
            <w:noWrap/>
            <w:vAlign w:val="center"/>
          </w:tcPr>
          <w:p w14:paraId="060858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133" w:type="dxa"/>
            <w:noWrap/>
            <w:vAlign w:val="center"/>
          </w:tcPr>
          <w:p w14:paraId="318AA5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 w14:paraId="10A8F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4F6250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noWrap/>
            <w:vAlign w:val="center"/>
          </w:tcPr>
          <w:p w14:paraId="4752B9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不锈钢弯头</w:t>
            </w:r>
          </w:p>
        </w:tc>
        <w:tc>
          <w:tcPr>
            <w:tcW w:w="4004" w:type="dxa"/>
            <w:noWrap/>
            <w:vAlign w:val="center"/>
          </w:tcPr>
          <w:p w14:paraId="7BFC3FF7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规格：匹配对应管径，90度弯头；3. 承压能力：≥1.6MPa；4. 密封性能：端面平整度≤0.02mm，无渗漏；5. 内外表面无毛刺、裂纹</w:t>
            </w:r>
          </w:p>
        </w:tc>
        <w:tc>
          <w:tcPr>
            <w:tcW w:w="1217" w:type="dxa"/>
            <w:noWrap/>
            <w:vAlign w:val="center"/>
          </w:tcPr>
          <w:p w14:paraId="70F327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noWrap/>
            <w:vAlign w:val="center"/>
          </w:tcPr>
          <w:p w14:paraId="189A33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55F25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15FC91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noWrap/>
            <w:vAlign w:val="center"/>
          </w:tcPr>
          <w:p w14:paraId="118011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氧气副管</w:t>
            </w:r>
          </w:p>
        </w:tc>
        <w:tc>
          <w:tcPr>
            <w:tcW w:w="4004" w:type="dxa"/>
            <w:noWrap/>
            <w:vAlign w:val="center"/>
          </w:tcPr>
          <w:p w14:paraId="31DB0522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规格：外径14mm，壁厚1.5mm；3. 承压能力：≥1.6MPa；4. 内外表面光洁度：Ra≤0.8μm；5. 耐腐蚀性能：符合医用流体输送要求</w:t>
            </w:r>
          </w:p>
        </w:tc>
        <w:tc>
          <w:tcPr>
            <w:tcW w:w="1217" w:type="dxa"/>
            <w:noWrap/>
            <w:vAlign w:val="center"/>
          </w:tcPr>
          <w:p w14:paraId="3DEED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133" w:type="dxa"/>
            <w:noWrap/>
            <w:vAlign w:val="center"/>
          </w:tcPr>
          <w:p w14:paraId="2C63AC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</w:tr>
      <w:tr w14:paraId="1C83B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03CB3C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noWrap/>
            <w:vAlign w:val="center"/>
          </w:tcPr>
          <w:p w14:paraId="01B1D0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不锈钢弯头</w:t>
            </w:r>
          </w:p>
        </w:tc>
        <w:tc>
          <w:tcPr>
            <w:tcW w:w="4004" w:type="dxa"/>
            <w:noWrap/>
            <w:vAlign w:val="center"/>
          </w:tcPr>
          <w:p w14:paraId="628D5F9B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规格：匹配对应管径，90度弯头；3. 承压能力：≥1.6MPa；4. 密封性能：端面平整度≤0.02mm，无渗漏；5. 内外表面无毛刺、裂纹</w:t>
            </w:r>
          </w:p>
        </w:tc>
        <w:tc>
          <w:tcPr>
            <w:tcW w:w="1217" w:type="dxa"/>
            <w:noWrap/>
            <w:vAlign w:val="center"/>
          </w:tcPr>
          <w:p w14:paraId="6E8124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noWrap/>
            <w:vAlign w:val="center"/>
          </w:tcPr>
          <w:p w14:paraId="68EB20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118B6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4F0693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20" w:type="dxa"/>
            <w:noWrap/>
            <w:vAlign w:val="center"/>
          </w:tcPr>
          <w:p w14:paraId="3DF720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氧气二级稳压器</w:t>
            </w:r>
          </w:p>
        </w:tc>
        <w:tc>
          <w:tcPr>
            <w:tcW w:w="4004" w:type="dxa"/>
            <w:noWrap/>
            <w:vAlign w:val="center"/>
          </w:tcPr>
          <w:p w14:paraId="1024B4AC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输入压力：0.2-1.0MPa；2. 输出压力：0.2-0.4MPa（可调）；3. 流量：≥10m³/h；4. 稳压精度：≤±5%；5. 噪音：≤40dB(A)；6. 材质：阀体为黄铜，过流部件为304不锈钢；7. 具备过压保护、泄压功能</w:t>
            </w:r>
          </w:p>
        </w:tc>
        <w:tc>
          <w:tcPr>
            <w:tcW w:w="1217" w:type="dxa"/>
            <w:noWrap/>
            <w:vAlign w:val="center"/>
          </w:tcPr>
          <w:p w14:paraId="5FFE4E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33" w:type="dxa"/>
            <w:noWrap/>
            <w:vAlign w:val="center"/>
          </w:tcPr>
          <w:p w14:paraId="201027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E94B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27A5A3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20" w:type="dxa"/>
            <w:noWrap/>
            <w:vAlign w:val="center"/>
          </w:tcPr>
          <w:p w14:paraId="2BEE22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氧气流量计</w:t>
            </w:r>
          </w:p>
        </w:tc>
        <w:tc>
          <w:tcPr>
            <w:tcW w:w="4004" w:type="dxa"/>
            <w:noWrap/>
            <w:vAlign w:val="center"/>
          </w:tcPr>
          <w:p w14:paraId="2689B286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测量范围：0-10m³/h；2. 精度等级：1.5级；3. 工作压力：≤1.0MPa；4. 介质：医用氧气；5. 显示方式：现场数字显示，具备瞬时流量、累计流量显示功能；6. 材质：过流部件为304不锈钢；</w:t>
            </w:r>
          </w:p>
        </w:tc>
        <w:tc>
          <w:tcPr>
            <w:tcW w:w="1217" w:type="dxa"/>
            <w:noWrap/>
            <w:vAlign w:val="center"/>
          </w:tcPr>
          <w:p w14:paraId="169C19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33" w:type="dxa"/>
            <w:noWrap/>
            <w:vAlign w:val="center"/>
          </w:tcPr>
          <w:p w14:paraId="7346DC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2BA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7F1A22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20" w:type="dxa"/>
            <w:noWrap/>
            <w:vAlign w:val="center"/>
          </w:tcPr>
          <w:p w14:paraId="3EDB7E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阀门</w:t>
            </w:r>
          </w:p>
        </w:tc>
        <w:tc>
          <w:tcPr>
            <w:tcW w:w="4004" w:type="dxa"/>
            <w:noWrap/>
            <w:vAlign w:val="center"/>
          </w:tcPr>
          <w:p w14:paraId="38787557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材质：阀体为黄铜，阀杆为304不锈钢；2. 规格：DN15/DN20；3. 承压能力：≥1.6MPa；4. 密封性能：零泄漏，符合医用氧气使用要求</w:t>
            </w:r>
          </w:p>
        </w:tc>
        <w:tc>
          <w:tcPr>
            <w:tcW w:w="1217" w:type="dxa"/>
            <w:noWrap/>
            <w:vAlign w:val="center"/>
          </w:tcPr>
          <w:p w14:paraId="2DC66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33" w:type="dxa"/>
            <w:noWrap/>
            <w:vAlign w:val="center"/>
          </w:tcPr>
          <w:p w14:paraId="50D899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46EDD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1B3C59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noWrap/>
            <w:vAlign w:val="center"/>
          </w:tcPr>
          <w:p w14:paraId="547554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氧气支管</w:t>
            </w:r>
          </w:p>
        </w:tc>
        <w:tc>
          <w:tcPr>
            <w:tcW w:w="4004" w:type="dxa"/>
            <w:noWrap/>
            <w:vAlign w:val="center"/>
          </w:tcPr>
          <w:p w14:paraId="489F7F13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材质：304医用级不锈钢；2. 规格：外径8mm，壁厚1mm；3. 承压能力：≥1.6MPa；4. 内外表面光洁度：Ra≤0.8μm；5. 管内无杂质、油污，洁净度符合医用要求</w:t>
            </w:r>
          </w:p>
        </w:tc>
        <w:tc>
          <w:tcPr>
            <w:tcW w:w="1217" w:type="dxa"/>
            <w:noWrap/>
            <w:vAlign w:val="center"/>
          </w:tcPr>
          <w:p w14:paraId="2DF4A7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133" w:type="dxa"/>
            <w:noWrap/>
            <w:vAlign w:val="center"/>
          </w:tcPr>
          <w:p w14:paraId="472F67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</w:tr>
      <w:tr w14:paraId="44167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5FDF81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noWrap/>
            <w:vAlign w:val="center"/>
          </w:tcPr>
          <w:p w14:paraId="7B90F7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氧气检修阀</w:t>
            </w:r>
          </w:p>
        </w:tc>
        <w:tc>
          <w:tcPr>
            <w:tcW w:w="4004" w:type="dxa"/>
            <w:noWrap/>
            <w:vAlign w:val="center"/>
          </w:tcPr>
          <w:p w14:paraId="00D871B1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材质：阀体为黄铜，阀杆为304不锈钢；2. 规格：DN15/DN20；3. 承压能力：≥1.6MPa；4. 密封性能：零泄漏，符合医用氧气使用要求</w:t>
            </w:r>
          </w:p>
        </w:tc>
        <w:tc>
          <w:tcPr>
            <w:tcW w:w="1217" w:type="dxa"/>
            <w:noWrap/>
            <w:vAlign w:val="center"/>
          </w:tcPr>
          <w:p w14:paraId="3A732A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33" w:type="dxa"/>
            <w:noWrap/>
            <w:vAlign w:val="center"/>
          </w:tcPr>
          <w:p w14:paraId="457D61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</w:tr>
      <w:tr w14:paraId="21390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558872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noWrap/>
            <w:vAlign w:val="center"/>
          </w:tcPr>
          <w:p w14:paraId="7ABC9E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装饰线槽</w:t>
            </w:r>
          </w:p>
        </w:tc>
        <w:tc>
          <w:tcPr>
            <w:tcW w:w="4004" w:type="dxa"/>
            <w:noWrap/>
            <w:vAlign w:val="center"/>
          </w:tcPr>
          <w:p w14:paraId="5AEE52E9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1.材质：塑料线槽；2.阻燃等级高于B2</w:t>
            </w:r>
          </w:p>
        </w:tc>
        <w:tc>
          <w:tcPr>
            <w:tcW w:w="1217" w:type="dxa"/>
            <w:noWrap/>
            <w:vAlign w:val="center"/>
          </w:tcPr>
          <w:p w14:paraId="71B45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133" w:type="dxa"/>
            <w:noWrap/>
            <w:vAlign w:val="center"/>
          </w:tcPr>
          <w:p w14:paraId="31E9E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43EB9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47689D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20" w:type="dxa"/>
            <w:noWrap/>
            <w:vAlign w:val="center"/>
          </w:tcPr>
          <w:p w14:paraId="697F10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设备带</w:t>
            </w:r>
          </w:p>
        </w:tc>
        <w:tc>
          <w:tcPr>
            <w:tcW w:w="4004" w:type="dxa"/>
            <w:noWrap/>
            <w:vAlign w:val="center"/>
          </w:tcPr>
          <w:p w14:paraId="018050DE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规格：单根设备带可根据现场施工尺寸按需定制，单根长度不限；2. 材质：铝合金型材，表面阳极氧化处理；3. 结构：双腔结构，分别走氧气管路和电气线路，强弱电分离；4. 安装方式：壁挂式安装；5. 防护等级：IP30</w:t>
            </w:r>
          </w:p>
        </w:tc>
        <w:tc>
          <w:tcPr>
            <w:tcW w:w="1217" w:type="dxa"/>
            <w:noWrap/>
            <w:vAlign w:val="center"/>
          </w:tcPr>
          <w:p w14:paraId="171591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133" w:type="dxa"/>
            <w:noWrap/>
            <w:vAlign w:val="center"/>
          </w:tcPr>
          <w:p w14:paraId="662B23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 w14:paraId="1A622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06A8B7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20" w:type="dxa"/>
            <w:noWrap/>
            <w:vAlign w:val="center"/>
          </w:tcPr>
          <w:p w14:paraId="67E6CC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终端</w:t>
            </w:r>
          </w:p>
        </w:tc>
        <w:tc>
          <w:tcPr>
            <w:tcW w:w="4004" w:type="dxa"/>
            <w:noWrap/>
            <w:vAlign w:val="center"/>
          </w:tcPr>
          <w:p w14:paraId="766CC621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1. 类型：快速插拔式，适配国标医用氧气接头；2. 材质：主体为黄铜，密封件为医用级硅橡胶；3. 工作压力：0.2-0.4MPa；4. 流量：≥100L/min；5. 密封性能：无泄漏，插拔次数≥10000次</w:t>
            </w:r>
          </w:p>
        </w:tc>
        <w:tc>
          <w:tcPr>
            <w:tcW w:w="1217" w:type="dxa"/>
            <w:noWrap/>
            <w:vAlign w:val="center"/>
          </w:tcPr>
          <w:p w14:paraId="47B7DF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33" w:type="dxa"/>
            <w:noWrap/>
            <w:vAlign w:val="center"/>
          </w:tcPr>
          <w:p w14:paraId="586131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 w14:paraId="7AB7B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66C808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20" w:type="dxa"/>
            <w:noWrap/>
            <w:vAlign w:val="center"/>
          </w:tcPr>
          <w:p w14:paraId="6B69DD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漏电保护器</w:t>
            </w:r>
          </w:p>
        </w:tc>
        <w:tc>
          <w:tcPr>
            <w:tcW w:w="4004" w:type="dxa"/>
            <w:noWrap/>
            <w:vAlign w:val="center"/>
          </w:tcPr>
          <w:p w14:paraId="1B6F3B3D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额定电流16A，漏电动作电流30mA，动作时间≤0.1s，符合国标GB 13955-2017</w:t>
            </w:r>
          </w:p>
        </w:tc>
        <w:tc>
          <w:tcPr>
            <w:tcW w:w="1217" w:type="dxa"/>
            <w:noWrap/>
            <w:vAlign w:val="center"/>
          </w:tcPr>
          <w:p w14:paraId="2EB591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133" w:type="dxa"/>
            <w:noWrap/>
            <w:vAlign w:val="center"/>
          </w:tcPr>
          <w:p w14:paraId="624F61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 w14:paraId="7EBE5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799308CD">
            <w:pPr>
              <w:pStyle w:val="2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14</w:t>
            </w:r>
          </w:p>
        </w:tc>
        <w:tc>
          <w:tcPr>
            <w:tcW w:w="1320" w:type="dxa"/>
            <w:noWrap/>
            <w:vAlign w:val="center"/>
          </w:tcPr>
          <w:p w14:paraId="7989A6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插座</w:t>
            </w:r>
          </w:p>
        </w:tc>
        <w:tc>
          <w:tcPr>
            <w:tcW w:w="4004" w:type="dxa"/>
            <w:noWrap/>
            <w:vAlign w:val="center"/>
          </w:tcPr>
          <w:p w14:paraId="2CE50DBA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10A/16A，医用防溅型，符合GB 2099.1-2021</w:t>
            </w:r>
          </w:p>
        </w:tc>
        <w:tc>
          <w:tcPr>
            <w:tcW w:w="1217" w:type="dxa"/>
            <w:noWrap/>
            <w:vAlign w:val="center"/>
          </w:tcPr>
          <w:p w14:paraId="6A787A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133" w:type="dxa"/>
            <w:noWrap/>
            <w:vAlign w:val="center"/>
          </w:tcPr>
          <w:p w14:paraId="515CC4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 w14:paraId="48759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7DFCCCB5">
            <w:pPr>
              <w:pStyle w:val="2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15</w:t>
            </w:r>
          </w:p>
        </w:tc>
        <w:tc>
          <w:tcPr>
            <w:tcW w:w="1320" w:type="dxa"/>
            <w:noWrap/>
            <w:vAlign w:val="center"/>
          </w:tcPr>
          <w:p w14:paraId="75DDC5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电源线</w:t>
            </w:r>
          </w:p>
        </w:tc>
        <w:tc>
          <w:tcPr>
            <w:tcW w:w="4004" w:type="dxa"/>
            <w:noWrap/>
            <w:vAlign w:val="center"/>
          </w:tcPr>
          <w:p w14:paraId="14184DD6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国标RVV 3*1.5mm²/3*2.5mm²，阻燃型，符合GB 5023-2008</w:t>
            </w:r>
          </w:p>
        </w:tc>
        <w:tc>
          <w:tcPr>
            <w:tcW w:w="1217" w:type="dxa"/>
            <w:noWrap/>
            <w:vAlign w:val="center"/>
          </w:tcPr>
          <w:p w14:paraId="19296F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133" w:type="dxa"/>
            <w:noWrap/>
            <w:vAlign w:val="center"/>
          </w:tcPr>
          <w:p w14:paraId="232CAB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 w14:paraId="7A407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04EE3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20" w:type="dxa"/>
            <w:noWrap/>
            <w:vAlign w:val="center"/>
          </w:tcPr>
          <w:p w14:paraId="01A2CF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日光灯</w:t>
            </w:r>
          </w:p>
        </w:tc>
        <w:tc>
          <w:tcPr>
            <w:tcW w:w="4004" w:type="dxa"/>
            <w:noWrap/>
            <w:vAlign w:val="center"/>
          </w:tcPr>
          <w:p w14:paraId="01214655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LED光源，色温4000K，显色指数Ra≥80，功率18W，符合GB 7000.1-2015，有配套灯罩</w:t>
            </w:r>
          </w:p>
        </w:tc>
        <w:tc>
          <w:tcPr>
            <w:tcW w:w="1217" w:type="dxa"/>
            <w:noWrap/>
            <w:vAlign w:val="center"/>
          </w:tcPr>
          <w:p w14:paraId="12B096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33" w:type="dxa"/>
            <w:noWrap/>
            <w:vAlign w:val="center"/>
          </w:tcPr>
          <w:p w14:paraId="7085C8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  <w:tr w14:paraId="5C5F0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8" w:type="dxa"/>
            <w:noWrap/>
            <w:vAlign w:val="center"/>
          </w:tcPr>
          <w:p w14:paraId="2B9177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20" w:type="dxa"/>
            <w:noWrap/>
            <w:vAlign w:val="center"/>
          </w:tcPr>
          <w:p w14:paraId="3693F0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开关</w:t>
            </w:r>
          </w:p>
        </w:tc>
        <w:tc>
          <w:tcPr>
            <w:tcW w:w="4004" w:type="dxa"/>
            <w:noWrap/>
            <w:vAlign w:val="center"/>
          </w:tcPr>
          <w:p w14:paraId="56A8BF46">
            <w:pPr>
              <w:pStyle w:val="7"/>
              <w:numPr>
                <w:ilvl w:val="0"/>
                <w:numId w:val="0"/>
              </w:numPr>
              <w:snapToGrid w:val="0"/>
              <w:jc w:val="left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  <w:t>10A，墙壁式，符合GB 16915.1-2014</w:t>
            </w:r>
          </w:p>
        </w:tc>
        <w:tc>
          <w:tcPr>
            <w:tcW w:w="1217" w:type="dxa"/>
            <w:noWrap/>
            <w:vAlign w:val="center"/>
          </w:tcPr>
          <w:p w14:paraId="23CEC5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133" w:type="dxa"/>
            <w:noWrap/>
            <w:vAlign w:val="center"/>
          </w:tcPr>
          <w:p w14:paraId="1FA9A1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</w:tr>
    </w:tbl>
    <w:p w14:paraId="49EF4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 w:firstLine="480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质量要求</w:t>
      </w:r>
    </w:p>
    <w:p w14:paraId="21503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1.供应商须提供全新的货物，表面无划伤、无破损、无污渍，且权属清楚，不得侵害他人的知识产权，并按照相关要求包装完好。</w:t>
      </w:r>
    </w:p>
    <w:p w14:paraId="36C5F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2.产品必须符合或优于国家(行业)标准、地方标准或者其他标准、规范要求，以及本项目的质量要求。</w:t>
      </w:r>
    </w:p>
    <w:p w14:paraId="47FEF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3.产品上均有产品质量检验合格标志，交货验收时须提供产品合格的检测报告，否则采购人有权拒收。</w:t>
      </w:r>
    </w:p>
    <w:p w14:paraId="775B0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4.货物出现质量问题，供应商应负责三包（包修、包换、包退），费用由供应商负担。</w:t>
      </w:r>
    </w:p>
    <w:p w14:paraId="6D69125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240" w:lineRule="auto"/>
        <w:textAlignment w:val="auto"/>
        <w:rPr>
          <w:rFonts w:hint="eastAsia" w:ascii="方正仿宋简体" w:hAnsi="方正仿宋简体" w:eastAsia="方正仿宋简体" w:cs="方正仿宋简体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highlight w:val="none"/>
          <w:lang w:val="en-US" w:eastAsia="zh-CN"/>
        </w:rPr>
        <w:t>5.设备带安装完成后需完成管路吹扫及气密性试验。</w:t>
      </w:r>
    </w:p>
    <w:p w14:paraId="32FB0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 w:firstLine="480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（三）售后服务要求</w:t>
      </w:r>
    </w:p>
    <w:p w14:paraId="5BEDF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  <w:t>1.安装并使用30日内如产品出现质量问题，须在接到采购人通知后及时响应并及时到达现场（工作日4小时内，非工作日24小时内），免费负责退换。</w:t>
      </w:r>
    </w:p>
    <w:p w14:paraId="793D5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48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  <w:t>2.质保期：质保期自验收合格之日起1年，质保期内出现质量问题，供应商在接到通知后应根据采购人要求及时响应，完成问题产品维修、更换，并在1天内完成恢复正常使用，维修的费用供应商自行承担，经两次维修仍不能正常使用，供应商应免费更换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  <w:t>。</w:t>
      </w:r>
    </w:p>
    <w:p w14:paraId="599B9FE7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240" w:lineRule="auto"/>
        <w:ind w:firstLine="480"/>
        <w:textAlignment w:val="auto"/>
        <w:rPr>
          <w:rFonts w:hint="eastAsia" w:ascii="方正仿宋简体" w:hAnsi="方正仿宋简体" w:eastAsia="方正仿宋简体" w:cs="方正仿宋简体"/>
          <w:color w:val="auto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lang w:val="en-US" w:eastAsia="zh-CN"/>
        </w:rPr>
        <w:t>3.供应商须为本项目</w:t>
      </w: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配备售后服务联系人及联系电话。</w:t>
      </w:r>
    </w:p>
    <w:p w14:paraId="3E29E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 w:firstLine="480" w:firstLineChars="200"/>
        <w:textAlignment w:val="auto"/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color w:val="auto"/>
          <w:kern w:val="0"/>
          <w:sz w:val="24"/>
          <w:szCs w:val="24"/>
          <w:highlight w:val="none"/>
          <w:lang w:val="en-US" w:eastAsia="zh-CN" w:bidi="ar-SA"/>
        </w:rPr>
        <w:t>（四）</w:t>
      </w:r>
      <w:r>
        <w:rPr>
          <w:rFonts w:hint="eastAsia" w:ascii="方正仿宋简体" w:hAnsi="方正仿宋简体" w:eastAsia="方正仿宋简体" w:cs="方正仿宋简体"/>
          <w:color w:val="auto"/>
          <w:sz w:val="24"/>
          <w:szCs w:val="24"/>
          <w:highlight w:val="none"/>
          <w:lang w:val="en-US" w:eastAsia="zh-CN"/>
        </w:rPr>
        <w:t>安全要求</w:t>
      </w:r>
    </w:p>
    <w:p w14:paraId="20685817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40" w:lineRule="auto"/>
        <w:ind w:firstLine="480"/>
        <w:jc w:val="both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24"/>
          <w:szCs w:val="24"/>
          <w:highlight w:val="none"/>
          <w:lang w:val="en-US" w:eastAsia="zh-CN"/>
        </w:rPr>
        <w:t>供应商货物配送、安装过程中出现安全事故等，其责任和损失由供应商承担。</w:t>
      </w:r>
    </w:p>
    <w:p w14:paraId="381820E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24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</w:p>
    <w:p w14:paraId="6C14CCDE">
      <w:pPr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after="0" w:line="240" w:lineRule="auto"/>
        <w:ind w:firstLine="482" w:firstLineChars="200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注：本项目的具体需求以采购文件为准。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D31D50"/>
    <w:rsid w:val="00323B43"/>
    <w:rsid w:val="00375F20"/>
    <w:rsid w:val="003D37D8"/>
    <w:rsid w:val="00426133"/>
    <w:rsid w:val="004358AB"/>
    <w:rsid w:val="008B7726"/>
    <w:rsid w:val="00D31D50"/>
    <w:rsid w:val="00D70CAF"/>
    <w:rsid w:val="038B095A"/>
    <w:rsid w:val="07157743"/>
    <w:rsid w:val="08BC53C1"/>
    <w:rsid w:val="0C1B3CF0"/>
    <w:rsid w:val="0F8D76BC"/>
    <w:rsid w:val="12744640"/>
    <w:rsid w:val="14F06300"/>
    <w:rsid w:val="17822189"/>
    <w:rsid w:val="1ADB2826"/>
    <w:rsid w:val="1C893FC1"/>
    <w:rsid w:val="1F26151A"/>
    <w:rsid w:val="1F6910FD"/>
    <w:rsid w:val="285C3114"/>
    <w:rsid w:val="34505558"/>
    <w:rsid w:val="35383B23"/>
    <w:rsid w:val="378F705B"/>
    <w:rsid w:val="3C231901"/>
    <w:rsid w:val="3F5178EA"/>
    <w:rsid w:val="400961F2"/>
    <w:rsid w:val="473450AD"/>
    <w:rsid w:val="4CFB302C"/>
    <w:rsid w:val="4E474E59"/>
    <w:rsid w:val="520C62B3"/>
    <w:rsid w:val="5D4957FB"/>
    <w:rsid w:val="5F6F2FDC"/>
    <w:rsid w:val="63D460D2"/>
    <w:rsid w:val="675D60DF"/>
    <w:rsid w:val="69DF102E"/>
    <w:rsid w:val="6A042842"/>
    <w:rsid w:val="6B700397"/>
    <w:rsid w:val="6DF74D4E"/>
    <w:rsid w:val="6E0E51A9"/>
    <w:rsid w:val="6F345300"/>
    <w:rsid w:val="7020326A"/>
    <w:rsid w:val="719E532A"/>
    <w:rsid w:val="73A13E0C"/>
    <w:rsid w:val="748E1122"/>
    <w:rsid w:val="79A27982"/>
    <w:rsid w:val="7B5D73F5"/>
    <w:rsid w:val="7CFE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ind w:firstLine="200" w:firstLineChars="200"/>
      <w:outlineLvl w:val="1"/>
    </w:pPr>
    <w:rPr>
      <w:rFonts w:ascii="Arial" w:hAnsi="Arial" w:eastAsia="黑体"/>
      <w:b/>
      <w:szCs w:val="2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240" w:lineRule="auto"/>
      <w:ind w:firstLine="420"/>
    </w:pPr>
    <w:rPr>
      <w:rFonts w:ascii="Calibri" w:hAnsi="Calibri" w:cs="Times New Roman"/>
      <w:sz w:val="21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Salutation"/>
    <w:basedOn w:val="1"/>
    <w:next w:val="1"/>
    <w:qFormat/>
    <w:uiPriority w:val="0"/>
  </w:style>
  <w:style w:type="paragraph" w:styleId="6">
    <w:name w:val="Body Text"/>
    <w:basedOn w:val="1"/>
    <w:next w:val="1"/>
    <w:autoRedefine/>
    <w:qFormat/>
    <w:uiPriority w:val="0"/>
    <w:rPr>
      <w:rFonts w:eastAsia="宋体"/>
      <w:sz w:val="18"/>
    </w:rPr>
  </w:style>
  <w:style w:type="paragraph" w:styleId="7">
    <w:name w:val="Plain Text"/>
    <w:basedOn w:val="1"/>
    <w:qFormat/>
    <w:uiPriority w:val="0"/>
    <w:rPr>
      <w:rFonts w:ascii="宋体" w:hAnsi="Courier New"/>
      <w:szCs w:val="20"/>
    </w:rPr>
  </w:style>
  <w:style w:type="paragraph" w:styleId="8">
    <w:name w:val="Body Text First Indent"/>
    <w:basedOn w:val="6"/>
    <w:autoRedefine/>
    <w:qFormat/>
    <w:uiPriority w:val="0"/>
    <w:pPr>
      <w:spacing w:before="60"/>
      <w:ind w:firstLine="420" w:firstLineChars="100"/>
      <w:jc w:val="left"/>
    </w:pPr>
    <w:rPr>
      <w:rFonts w:ascii="宋体" w:eastAsia="Times New Roman"/>
      <w:b/>
      <w:sz w:val="24"/>
    </w:rPr>
  </w:style>
  <w:style w:type="paragraph" w:customStyle="1" w:styleId="11">
    <w:name w:val="表格文字"/>
    <w:autoRedefine/>
    <w:qFormat/>
    <w:uiPriority w:val="0"/>
    <w:pPr>
      <w:widowControl w:val="0"/>
      <w:suppressAutoHyphens/>
      <w:spacing w:before="25" w:after="25"/>
    </w:pPr>
    <w:rPr>
      <w:rFonts w:ascii="Calibri" w:hAnsi="Calibri" w:eastAsia="宋体" w:cs="Times New Roman"/>
      <w:bCs/>
      <w:spacing w:val="10"/>
      <w:sz w:val="24"/>
      <w:szCs w:val="24"/>
      <w:lang w:val="en-US" w:eastAsia="zh-CN" w:bidi="ar-SA"/>
    </w:rPr>
  </w:style>
  <w:style w:type="paragraph" w:customStyle="1" w:styleId="12">
    <w:name w:val="Body text|1"/>
    <w:basedOn w:val="1"/>
    <w:autoRedefine/>
    <w:qFormat/>
    <w:uiPriority w:val="0"/>
    <w:pPr>
      <w:spacing w:line="406" w:lineRule="auto"/>
      <w:ind w:firstLine="400"/>
    </w:pPr>
    <w:rPr>
      <w:rFonts w:ascii="宋体" w:hAnsi="宋体" w:cs="宋体"/>
      <w:lang w:val="zh-TW" w:eastAsia="zh-TW" w:bidi="zh-TW"/>
    </w:rPr>
  </w:style>
  <w:style w:type="paragraph" w:customStyle="1" w:styleId="13">
    <w:name w:val="null3"/>
    <w:autoRedefine/>
    <w:qFormat/>
    <w:uiPriority w:val="0"/>
    <w:rPr>
      <w:rFonts w:hint="eastAsia" w:ascii="Calibri" w:hAnsi="Calibri" w:eastAsia="宋体" w:cs="Times New Roman"/>
      <w:lang w:val="en-US" w:eastAsia="zh-Hans"/>
    </w:rPr>
  </w:style>
  <w:style w:type="paragraph" w:customStyle="1" w:styleId="14">
    <w:name w:val="样式 首行缩进:  2 字符"/>
    <w:basedOn w:val="1"/>
    <w:qFormat/>
    <w:uiPriority w:val="0"/>
    <w:pPr>
      <w:spacing w:line="400" w:lineRule="exact"/>
      <w:ind w:firstLine="200"/>
    </w:pPr>
    <w:rPr>
      <w:rFonts w:cs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1436</Words>
  <Characters>1803</Characters>
  <Lines>1</Lines>
  <Paragraphs>1</Paragraphs>
  <TotalTime>13</TotalTime>
  <ScaleCrop>false</ScaleCrop>
  <LinksUpToDate>false</LinksUpToDate>
  <CharactersWithSpaces>1865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志朋</cp:lastModifiedBy>
  <dcterms:modified xsi:type="dcterms:W3CDTF">2026-08-28T07:20:58Z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1CC0023FC22243F78C380763700BA91A_13</vt:lpwstr>
  </property>
  <property fmtid="{D5CDD505-2E9C-101B-9397-08002B2CF9AE}" pid="4" name="KSOTemplateDocerSaveRecord">
    <vt:lpwstr>eyJoZGlkIjoiY2NiY2IxNDFkY2Q2ZjBiNDQ1OWFjNDVlYTY1NjM2YmMiLCJ1c2VySWQiOiIyNzM1MjA4NTQifQ==</vt:lpwstr>
  </property>
</Properties>
</file>