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310D67">
      <w:pPr>
        <w:keepNext w:val="0"/>
        <w:keepLines w:val="0"/>
        <w:pageBreakBefore w:val="0"/>
        <w:widowControl/>
        <w:kinsoku/>
        <w:wordWrap/>
        <w:overflowPunct/>
        <w:topLinePunct w:val="0"/>
        <w:autoSpaceDE/>
        <w:autoSpaceDN/>
        <w:bidi w:val="0"/>
        <w:adjustRightInd/>
        <w:snapToGrid/>
        <w:spacing w:after="0" w:line="360" w:lineRule="auto"/>
        <w:ind w:firstLine="0" w:firstLineChars="0"/>
        <w:jc w:val="center"/>
        <w:textAlignment w:val="auto"/>
        <w:rPr>
          <w:rFonts w:hint="eastAsia" w:ascii="方正小标宋简体" w:hAnsi="方正小标宋简体" w:eastAsia="方正小标宋简体" w:cs="方正小标宋简体"/>
          <w:b w:val="0"/>
          <w:bCs/>
          <w:color w:val="auto"/>
          <w:sz w:val="36"/>
          <w:szCs w:val="36"/>
          <w:highlight w:val="none"/>
        </w:rPr>
      </w:pPr>
      <w:r>
        <w:rPr>
          <w:rFonts w:hint="eastAsia" w:ascii="方正小标宋简体" w:hAnsi="方正小标宋简体" w:eastAsia="方正小标宋简体" w:cs="方正小标宋简体"/>
          <w:b w:val="0"/>
          <w:bCs/>
          <w:color w:val="auto"/>
          <w:sz w:val="36"/>
          <w:szCs w:val="36"/>
          <w:highlight w:val="none"/>
        </w:rPr>
        <w:t>成都市新都区</w:t>
      </w:r>
      <w:r>
        <w:rPr>
          <w:rFonts w:hint="eastAsia" w:ascii="方正小标宋简体" w:hAnsi="方正小标宋简体" w:eastAsia="方正小标宋简体" w:cs="方正小标宋简体"/>
          <w:b w:val="0"/>
          <w:bCs/>
          <w:color w:val="auto"/>
          <w:sz w:val="36"/>
          <w:szCs w:val="36"/>
          <w:highlight w:val="none"/>
          <w:lang w:eastAsia="zh-CN"/>
        </w:rPr>
        <w:t>第三</w:t>
      </w:r>
      <w:r>
        <w:rPr>
          <w:rFonts w:hint="eastAsia" w:ascii="方正小标宋简体" w:hAnsi="方正小标宋简体" w:eastAsia="方正小标宋简体" w:cs="方正小标宋简体"/>
          <w:b w:val="0"/>
          <w:bCs/>
          <w:color w:val="auto"/>
          <w:sz w:val="36"/>
          <w:szCs w:val="36"/>
          <w:highlight w:val="none"/>
        </w:rPr>
        <w:t>人民医院</w:t>
      </w:r>
    </w:p>
    <w:p w14:paraId="6D46C84F">
      <w:pPr>
        <w:pStyle w:val="2"/>
        <w:keepNext w:val="0"/>
        <w:keepLines w:val="0"/>
        <w:pageBreakBefore w:val="0"/>
        <w:widowControl/>
        <w:numPr>
          <w:ilvl w:val="0"/>
          <w:numId w:val="0"/>
        </w:numPr>
        <w:kinsoku/>
        <w:wordWrap/>
        <w:overflowPunct/>
        <w:topLinePunct w:val="0"/>
        <w:autoSpaceDE/>
        <w:autoSpaceDN/>
        <w:bidi w:val="0"/>
        <w:adjustRightInd w:val="0"/>
        <w:snapToGrid w:val="0"/>
        <w:spacing w:after="0" w:line="570" w:lineRule="exact"/>
        <w:ind w:firstLine="0" w:firstLineChars="0"/>
        <w:jc w:val="center"/>
        <w:textAlignment w:val="auto"/>
        <w:rPr>
          <w:rFonts w:hint="default" w:ascii="Times New Roman" w:hAnsi="Times New Roman" w:eastAsia="方正小标宋简体" w:cs="Times New Roman"/>
          <w:b w:val="0"/>
          <w:bCs/>
          <w:color w:val="auto"/>
          <w:sz w:val="36"/>
          <w:szCs w:val="36"/>
          <w:highlight w:val="none"/>
          <w:lang w:val="en-US" w:eastAsia="zh-CN"/>
        </w:rPr>
      </w:pPr>
      <w:r>
        <w:rPr>
          <w:rFonts w:hint="eastAsia" w:ascii="方正小标宋简体" w:hAnsi="方正小标宋简体" w:eastAsia="方正小标宋简体" w:cs="方正小标宋简体"/>
          <w:b w:val="0"/>
          <w:bCs/>
          <w:i w:val="0"/>
          <w:iCs w:val="0"/>
          <w:caps w:val="0"/>
          <w:color w:val="auto"/>
          <w:spacing w:val="0"/>
          <w:kern w:val="0"/>
          <w:sz w:val="36"/>
          <w:szCs w:val="36"/>
          <w:highlight w:val="none"/>
          <w:shd w:val="clear" w:fill="FFFFFF"/>
          <w:lang w:val="en-US" w:eastAsia="zh-CN" w:bidi="ar"/>
        </w:rPr>
        <w:t>素质拓展活动服务采购项目</w:t>
      </w:r>
      <w:r>
        <w:rPr>
          <w:rFonts w:hint="eastAsia" w:ascii="方正小标宋简体" w:hAnsi="方正小标宋简体" w:eastAsia="方正小标宋简体" w:cs="方正小标宋简体"/>
          <w:b w:val="0"/>
          <w:bCs/>
          <w:color w:val="auto"/>
          <w:sz w:val="36"/>
          <w:szCs w:val="36"/>
          <w:highlight w:val="none"/>
          <w:lang w:val="en-US" w:eastAsia="zh-CN"/>
        </w:rPr>
        <w:t>调研需求</w:t>
      </w:r>
    </w:p>
    <w:p w14:paraId="1EEC8D30">
      <w:pPr>
        <w:pStyle w:val="5"/>
        <w:rPr>
          <w:rFonts w:hint="default" w:eastAsia="微软雅黑"/>
          <w:lang w:val="en-US" w:eastAsia="zh-CN"/>
        </w:rPr>
      </w:pPr>
    </w:p>
    <w:p w14:paraId="334FA706">
      <w:pPr>
        <w:pStyle w:val="2"/>
        <w:keepNext w:val="0"/>
        <w:keepLines w:val="0"/>
        <w:pageBreakBefore w:val="0"/>
        <w:widowControl/>
        <w:numPr>
          <w:ilvl w:val="0"/>
          <w:numId w:val="0"/>
        </w:numPr>
        <w:kinsoku/>
        <w:wordWrap/>
        <w:overflowPunct/>
        <w:topLinePunct w:val="0"/>
        <w:autoSpaceDE/>
        <w:autoSpaceDN/>
        <w:bidi w:val="0"/>
        <w:adjustRightInd w:val="0"/>
        <w:snapToGrid w:val="0"/>
        <w:spacing w:after="0" w:line="580" w:lineRule="exact"/>
        <w:textAlignment w:val="auto"/>
        <w:rPr>
          <w:rFonts w:hint="default" w:ascii="Times New Roman" w:hAnsi="Times New Roman" w:eastAsia="方正仿宋简体" w:cs="Times New Roman"/>
          <w:b/>
          <w:bCs/>
          <w:color w:val="auto"/>
          <w:kern w:val="2"/>
          <w:sz w:val="28"/>
          <w:szCs w:val="28"/>
          <w:lang w:val="en-US" w:eastAsia="zh-CN"/>
        </w:rPr>
      </w:pPr>
      <w:r>
        <w:rPr>
          <w:rFonts w:hint="eastAsia" w:ascii="Times New Roman" w:hAnsi="Times New Roman" w:eastAsia="方正仿宋简体" w:cs="Times New Roman"/>
          <w:b/>
          <w:bCs/>
          <w:color w:val="auto"/>
          <w:kern w:val="2"/>
          <w:sz w:val="28"/>
          <w:szCs w:val="28"/>
          <w:lang w:val="en-US" w:eastAsia="zh-CN"/>
        </w:rPr>
        <w:t>一、项目基本情况</w:t>
      </w:r>
    </w:p>
    <w:p w14:paraId="0CE5A99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80" w:lineRule="exact"/>
        <w:ind w:left="0" w:right="0" w:firstLine="560" w:firstLineChars="200"/>
        <w:jc w:val="left"/>
        <w:textAlignment w:val="auto"/>
        <w:rPr>
          <w:rFonts w:hint="default" w:ascii="Times New Roman" w:hAnsi="Times New Roman" w:eastAsia="方正仿宋简体" w:cs="Times New Roman"/>
          <w:color w:val="auto"/>
          <w:kern w:val="2"/>
          <w:sz w:val="28"/>
          <w:szCs w:val="28"/>
          <w:lang w:val="en-US" w:eastAsia="zh-CN" w:bidi="ar-SA"/>
        </w:rPr>
      </w:pPr>
      <w:r>
        <w:rPr>
          <w:rFonts w:hint="default" w:ascii="Times New Roman" w:hAnsi="Times New Roman" w:eastAsia="方正仿宋简体" w:cs="Times New Roman"/>
          <w:color w:val="auto"/>
          <w:kern w:val="2"/>
          <w:sz w:val="28"/>
          <w:szCs w:val="28"/>
          <w:lang w:val="en-US" w:eastAsia="zh-CN" w:bidi="ar-SA"/>
        </w:rPr>
        <w:t>为致敬全院</w:t>
      </w:r>
      <w:r>
        <w:rPr>
          <w:rFonts w:hint="eastAsia" w:ascii="Times New Roman" w:hAnsi="Times New Roman" w:eastAsia="方正仿宋简体" w:cs="Times New Roman"/>
          <w:color w:val="auto"/>
          <w:kern w:val="2"/>
          <w:sz w:val="28"/>
          <w:szCs w:val="28"/>
          <w:lang w:val="en-US" w:eastAsia="zh-CN" w:bidi="ar-SA"/>
        </w:rPr>
        <w:t>医护</w:t>
      </w:r>
      <w:r>
        <w:rPr>
          <w:rFonts w:hint="default" w:ascii="Times New Roman" w:hAnsi="Times New Roman" w:eastAsia="方正仿宋简体" w:cs="Times New Roman"/>
          <w:color w:val="auto"/>
          <w:kern w:val="2"/>
          <w:sz w:val="28"/>
          <w:szCs w:val="28"/>
          <w:lang w:val="en-US" w:eastAsia="zh-CN" w:bidi="ar-SA"/>
        </w:rPr>
        <w:t>工作者</w:t>
      </w:r>
      <w:r>
        <w:rPr>
          <w:rFonts w:hint="eastAsia" w:ascii="Times New Roman" w:hAnsi="Times New Roman" w:eastAsia="方正仿宋简体" w:cs="Times New Roman"/>
          <w:color w:val="auto"/>
          <w:kern w:val="2"/>
          <w:sz w:val="28"/>
          <w:szCs w:val="28"/>
          <w:lang w:val="en-US" w:eastAsia="zh-CN" w:bidi="ar-SA"/>
        </w:rPr>
        <w:t>，</w:t>
      </w:r>
      <w:r>
        <w:rPr>
          <w:rFonts w:hint="default" w:ascii="Times New Roman" w:hAnsi="Times New Roman" w:eastAsia="方正仿宋简体" w:cs="Times New Roman"/>
          <w:color w:val="auto"/>
          <w:kern w:val="2"/>
          <w:sz w:val="28"/>
          <w:szCs w:val="28"/>
          <w:lang w:val="en-US" w:eastAsia="zh-CN" w:bidi="ar-SA"/>
        </w:rPr>
        <w:t>关怀坚守临床一线</w:t>
      </w:r>
      <w:r>
        <w:rPr>
          <w:rFonts w:hint="eastAsia" w:ascii="Times New Roman" w:hAnsi="Times New Roman" w:eastAsia="方正仿宋简体" w:cs="Times New Roman"/>
          <w:color w:val="auto"/>
          <w:kern w:val="2"/>
          <w:sz w:val="28"/>
          <w:szCs w:val="28"/>
          <w:lang w:val="en-US" w:eastAsia="zh-CN" w:bidi="ar-SA"/>
        </w:rPr>
        <w:t>工作人员，</w:t>
      </w:r>
      <w:r>
        <w:rPr>
          <w:rFonts w:hint="default" w:ascii="Times New Roman" w:hAnsi="Times New Roman" w:eastAsia="方正仿宋简体" w:cs="Times New Roman"/>
          <w:color w:val="auto"/>
          <w:kern w:val="2"/>
          <w:sz w:val="28"/>
          <w:szCs w:val="28"/>
          <w:lang w:val="en-US" w:eastAsia="zh-CN" w:bidi="ar-SA"/>
        </w:rPr>
        <w:t>进一步增进科室沟通协作、强化</w:t>
      </w:r>
      <w:r>
        <w:rPr>
          <w:rFonts w:hint="eastAsia" w:ascii="Times New Roman" w:hAnsi="Times New Roman" w:eastAsia="方正仿宋简体" w:cs="Times New Roman"/>
          <w:color w:val="auto"/>
          <w:kern w:val="2"/>
          <w:sz w:val="28"/>
          <w:szCs w:val="28"/>
          <w:lang w:val="en-US" w:eastAsia="zh-CN" w:bidi="ar-SA"/>
        </w:rPr>
        <w:t>全体职工</w:t>
      </w:r>
      <w:r>
        <w:rPr>
          <w:rFonts w:hint="default" w:ascii="Times New Roman" w:hAnsi="Times New Roman" w:eastAsia="方正仿宋简体" w:cs="Times New Roman"/>
          <w:color w:val="auto"/>
          <w:kern w:val="2"/>
          <w:sz w:val="28"/>
          <w:szCs w:val="28"/>
          <w:lang w:val="en-US" w:eastAsia="zh-CN" w:bidi="ar-SA"/>
        </w:rPr>
        <w:t>向心力与集体凝聚力</w:t>
      </w:r>
      <w:r>
        <w:rPr>
          <w:rFonts w:hint="eastAsia" w:ascii="Times New Roman" w:hAnsi="Times New Roman" w:eastAsia="方正仿宋简体" w:cs="Times New Roman"/>
          <w:color w:val="auto"/>
          <w:kern w:val="2"/>
          <w:sz w:val="28"/>
          <w:szCs w:val="28"/>
          <w:lang w:val="en-US" w:eastAsia="zh-CN" w:bidi="ar-SA"/>
        </w:rPr>
        <w:t>，</w:t>
      </w:r>
      <w:r>
        <w:rPr>
          <w:rFonts w:hint="default" w:ascii="Times New Roman" w:hAnsi="Times New Roman" w:eastAsia="方正仿宋简体" w:cs="Times New Roman"/>
          <w:color w:val="auto"/>
          <w:kern w:val="2"/>
          <w:sz w:val="28"/>
          <w:szCs w:val="28"/>
          <w:lang w:val="en-US" w:eastAsia="zh-CN" w:bidi="ar-SA"/>
        </w:rPr>
        <w:t>塑造积极阳光的职业心态</w:t>
      </w:r>
      <w:r>
        <w:rPr>
          <w:rFonts w:hint="eastAsia" w:ascii="Times New Roman" w:hAnsi="Times New Roman" w:eastAsia="方正仿宋简体" w:cs="Times New Roman"/>
          <w:color w:val="auto"/>
          <w:kern w:val="2"/>
          <w:sz w:val="28"/>
          <w:szCs w:val="28"/>
          <w:lang w:val="en-US" w:eastAsia="zh-CN" w:bidi="ar-SA"/>
        </w:rPr>
        <w:t>，我院</w:t>
      </w:r>
      <w:r>
        <w:rPr>
          <w:rFonts w:hint="default" w:ascii="Times New Roman" w:hAnsi="Times New Roman" w:eastAsia="方正仿宋简体" w:cs="Times New Roman"/>
          <w:color w:val="auto"/>
          <w:kern w:val="2"/>
          <w:sz w:val="28"/>
          <w:szCs w:val="28"/>
          <w:lang w:val="en-US" w:eastAsia="zh-CN" w:bidi="ar-SA"/>
        </w:rPr>
        <w:t>拟开展</w:t>
      </w:r>
      <w:r>
        <w:rPr>
          <w:rFonts w:hint="eastAsia" w:ascii="Times New Roman" w:hAnsi="Times New Roman" w:eastAsia="方正仿宋简体" w:cs="Times New Roman"/>
          <w:color w:val="auto"/>
          <w:kern w:val="2"/>
          <w:sz w:val="28"/>
          <w:szCs w:val="28"/>
          <w:lang w:val="en-US" w:eastAsia="zh-CN" w:bidi="ar-SA"/>
        </w:rPr>
        <w:t>2027年全体医护人员素质拓展活动，</w:t>
      </w:r>
      <w:r>
        <w:rPr>
          <w:rFonts w:hint="default" w:ascii="Times New Roman" w:hAnsi="Times New Roman" w:eastAsia="方正仿宋简体" w:cs="Times New Roman"/>
          <w:color w:val="auto"/>
          <w:kern w:val="2"/>
          <w:sz w:val="28"/>
          <w:szCs w:val="28"/>
          <w:lang w:val="en-US" w:eastAsia="zh-CN" w:bidi="ar-SA"/>
        </w:rPr>
        <w:t>现开展采购前期市场调研。</w:t>
      </w:r>
    </w:p>
    <w:p w14:paraId="4F436AB3">
      <w:pPr>
        <w:keepNext w:val="0"/>
        <w:keepLines w:val="0"/>
        <w:pageBreakBefore w:val="0"/>
        <w:widowControl/>
        <w:numPr>
          <w:ilvl w:val="0"/>
          <w:numId w:val="0"/>
        </w:numPr>
        <w:kinsoku/>
        <w:wordWrap/>
        <w:overflowPunct/>
        <w:topLinePunct w:val="0"/>
        <w:autoSpaceDE/>
        <w:autoSpaceDN/>
        <w:bidi w:val="0"/>
        <w:adjustRightInd w:val="0"/>
        <w:snapToGrid w:val="0"/>
        <w:spacing w:after="0" w:line="580" w:lineRule="exact"/>
        <w:textAlignment w:val="auto"/>
        <w:rPr>
          <w:rFonts w:hint="eastAsia" w:ascii="Times New Roman" w:hAnsi="Times New Roman" w:eastAsia="方正仿宋简体" w:cs="Times New Roman"/>
          <w:b/>
          <w:bCs/>
          <w:color w:val="FF0000"/>
          <w:sz w:val="28"/>
          <w:szCs w:val="28"/>
          <w:highlight w:val="none"/>
          <w:lang w:val="en-US" w:eastAsia="zh-CN" w:bidi="ar"/>
        </w:rPr>
      </w:pPr>
      <w:r>
        <w:rPr>
          <w:rFonts w:hint="eastAsia" w:ascii="Times New Roman" w:hAnsi="Times New Roman" w:eastAsia="方正仿宋简体" w:cs="Times New Roman"/>
          <w:b/>
          <w:bCs/>
          <w:color w:val="auto"/>
          <w:kern w:val="2"/>
          <w:sz w:val="28"/>
          <w:szCs w:val="28"/>
          <w:lang w:val="en-US" w:eastAsia="zh-CN" w:bidi="ar-SA"/>
        </w:rPr>
        <w:t>二</w:t>
      </w:r>
      <w:r>
        <w:rPr>
          <w:rFonts w:hint="default" w:ascii="Times New Roman" w:hAnsi="Times New Roman" w:eastAsia="方正仿宋简体" w:cs="Times New Roman"/>
          <w:b/>
          <w:bCs/>
          <w:color w:val="auto"/>
          <w:kern w:val="2"/>
          <w:sz w:val="28"/>
          <w:szCs w:val="28"/>
          <w:lang w:val="en-US" w:eastAsia="zh-CN" w:bidi="ar-SA"/>
        </w:rPr>
        <w:t>、</w:t>
      </w:r>
      <w:r>
        <w:rPr>
          <w:rFonts w:hint="eastAsia" w:ascii="Times New Roman" w:hAnsi="Times New Roman" w:eastAsia="方正仿宋简体" w:cs="Times New Roman"/>
          <w:b/>
          <w:bCs/>
          <w:color w:val="auto"/>
          <w:kern w:val="2"/>
          <w:sz w:val="28"/>
          <w:szCs w:val="28"/>
          <w:lang w:val="en-US" w:eastAsia="zh-CN" w:bidi="ar-SA"/>
        </w:rPr>
        <w:t>服务内容及</w:t>
      </w:r>
      <w:r>
        <w:rPr>
          <w:rFonts w:hint="default" w:ascii="Times New Roman" w:hAnsi="Times New Roman" w:eastAsia="方正仿宋简体" w:cs="Times New Roman"/>
          <w:b/>
          <w:bCs/>
          <w:color w:val="auto"/>
          <w:kern w:val="2"/>
          <w:sz w:val="28"/>
          <w:szCs w:val="28"/>
          <w:lang w:val="en-US" w:eastAsia="zh-CN" w:bidi="ar-SA"/>
        </w:rPr>
        <w:t>服务</w:t>
      </w:r>
      <w:r>
        <w:rPr>
          <w:rFonts w:hint="eastAsia" w:ascii="Times New Roman" w:hAnsi="Times New Roman" w:eastAsia="方正仿宋简体" w:cs="Times New Roman"/>
          <w:b/>
          <w:bCs/>
          <w:color w:val="auto"/>
          <w:kern w:val="2"/>
          <w:sz w:val="28"/>
          <w:szCs w:val="28"/>
          <w:lang w:val="en-US" w:eastAsia="zh-CN" w:bidi="ar-SA"/>
        </w:rPr>
        <w:t>要求</w:t>
      </w:r>
      <w:bookmarkStart w:id="0" w:name="OLE_LINK2"/>
    </w:p>
    <w:bookmarkEnd w:id="0"/>
    <w:p w14:paraId="0021C70C">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pP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（一）</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活动目标：</w:t>
      </w:r>
    </w:p>
    <w:p w14:paraId="37C0E9C3">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pP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1</w:t>
      </w: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开拓视野，认知自我；</w:t>
      </w:r>
    </w:p>
    <w:p w14:paraId="5EFCA47D">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pP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2</w:t>
      </w: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掌握人才模型的构成，建设成长通道；</w:t>
      </w:r>
    </w:p>
    <w:p w14:paraId="07B6C540">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pP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3</w:t>
      </w: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提升团队沟通能力，主动沟通能力；提升干部自我驱动力；</w:t>
      </w:r>
    </w:p>
    <w:p w14:paraId="0AB32475">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pP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4.</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提升团队协作能力，提升医院管理水平；</w:t>
      </w:r>
    </w:p>
    <w:p w14:paraId="280BC0B5">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pP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5.</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培养医院职工团队凝聚力、提高协作意识；</w:t>
      </w:r>
    </w:p>
    <w:p w14:paraId="1986078B">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pP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6.</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打造职工阳光心态、提升执行力、激发干部潜能。</w:t>
      </w:r>
    </w:p>
    <w:p w14:paraId="212F21AF">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pP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（二）</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活动形式：</w:t>
      </w:r>
    </w:p>
    <w:p w14:paraId="1322F8A6">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eastAsia" w:ascii="Times New Roman" w:hAnsi="Times New Roman" w:eastAsia="方正仿宋简体" w:cs="Times New Roman"/>
          <w:color w:val="auto"/>
          <w:kern w:val="2"/>
          <w:sz w:val="28"/>
          <w:szCs w:val="28"/>
          <w:u w:val="none"/>
          <w:lang w:val="en-US" w:eastAsia="zh-CN"/>
        </w:rPr>
      </w:pP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本项目为专业素质拓展活动，区别于普通游园、趣味运动会等休闲娱乐类活动，须由持证专业教</w:t>
      </w:r>
      <w:r>
        <w:rPr>
          <w:rFonts w:hint="eastAsia" w:ascii="Times New Roman" w:hAnsi="Times New Roman" w:eastAsia="方正仿宋简体" w:cs="Times New Roman"/>
          <w:color w:val="auto"/>
          <w:kern w:val="2"/>
          <w:sz w:val="28"/>
          <w:szCs w:val="28"/>
          <w:u w:val="none"/>
          <w:lang w:val="en-US" w:eastAsia="zh-CN"/>
        </w:rPr>
        <w:t>练全程带队引导，</w:t>
      </w:r>
      <w:r>
        <w:rPr>
          <w:rFonts w:hint="default" w:ascii="Times New Roman" w:hAnsi="Times New Roman" w:eastAsia="方正仿宋简体" w:cs="Times New Roman"/>
          <w:color w:val="auto"/>
          <w:kern w:val="2"/>
          <w:sz w:val="28"/>
          <w:szCs w:val="28"/>
          <w:u w:val="none"/>
          <w:lang w:val="en-US" w:eastAsia="zh-CN"/>
        </w:rPr>
        <w:t>采用高品质、重体验、定制化</w:t>
      </w:r>
      <w:r>
        <w:rPr>
          <w:rFonts w:hint="eastAsia" w:ascii="Times New Roman" w:hAnsi="Times New Roman" w:eastAsia="方正仿宋简体" w:cs="Times New Roman"/>
          <w:color w:val="auto"/>
          <w:kern w:val="2"/>
          <w:sz w:val="28"/>
          <w:szCs w:val="28"/>
          <w:u w:val="none"/>
          <w:lang w:val="en-US" w:eastAsia="zh-CN"/>
        </w:rPr>
        <w:t>的体验式培训项目实现团队建设目标。具体要求如下：</w:t>
      </w:r>
    </w:p>
    <w:p w14:paraId="03A16F96">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auto"/>
          <w:kern w:val="2"/>
          <w:sz w:val="28"/>
          <w:szCs w:val="28"/>
          <w:u w:val="none"/>
          <w:lang w:val="en-US" w:eastAsia="zh-CN"/>
        </w:rPr>
      </w:pPr>
      <w:r>
        <w:rPr>
          <w:rFonts w:hint="eastAsia" w:ascii="Times New Roman" w:hAnsi="Times New Roman" w:eastAsia="方正仿宋简体" w:cs="Times New Roman"/>
          <w:color w:val="auto"/>
          <w:kern w:val="2"/>
          <w:sz w:val="28"/>
          <w:szCs w:val="28"/>
          <w:u w:val="none"/>
          <w:lang w:val="en-US" w:eastAsia="zh-CN"/>
        </w:rPr>
        <w:t>每批次配备至少6名持证拓展教练（须具备对应项目的合法执教资质</w:t>
      </w:r>
      <w:r>
        <w:rPr>
          <w:rFonts w:hint="eastAsia" w:ascii="Times New Roman" w:hAnsi="Times New Roman" w:eastAsia="方正仿宋简体" w:cs="Times New Roman"/>
          <w:color w:val="auto"/>
          <w:kern w:val="2"/>
          <w:sz w:val="28"/>
          <w:szCs w:val="28"/>
          <w:u w:val="none"/>
          <w:lang w:val="en-US" w:eastAsia="zh-CN"/>
        </w:rPr>
        <w:t>），全程主导活动设计、项目执行、团队引导与复盘总结，确保活动安全有序；结合医院行业特点和医护人员职业属性，定制专属拓展主题与项目，融入医护团队协作、沟通共情等职业相关元素，增强</w:t>
      </w:r>
      <w:bookmarkStart w:id="1" w:name="_GoBack"/>
      <w:bookmarkEnd w:id="1"/>
      <w:r>
        <w:rPr>
          <w:rFonts w:hint="eastAsia" w:ascii="Times New Roman" w:hAnsi="Times New Roman" w:eastAsia="方正仿宋简体" w:cs="Times New Roman"/>
          <w:color w:val="auto"/>
          <w:kern w:val="2"/>
          <w:sz w:val="28"/>
          <w:szCs w:val="28"/>
          <w:u w:val="none"/>
          <w:lang w:val="en-US" w:eastAsia="zh-CN"/>
        </w:rPr>
        <w:t>活动针对性与代入感；可结合场地特点设计户外定向挑战、沉浸式主题拓展等形式，但核心须为专业教练引导的体验式培训项目，不得简化为单纯打卡游园或自由活动。供应商须负责本次活动的整体规划设计和具体实施，全程跟进，保障活动顺利开展。</w:t>
      </w:r>
    </w:p>
    <w:p w14:paraId="35C50352">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auto"/>
          <w:kern w:val="2"/>
          <w:sz w:val="28"/>
          <w:szCs w:val="28"/>
          <w:u w:val="none"/>
          <w:lang w:val="en-US" w:eastAsia="zh-CN"/>
        </w:rPr>
      </w:pPr>
      <w:r>
        <w:rPr>
          <w:rFonts w:hint="eastAsia" w:ascii="Times New Roman" w:hAnsi="Times New Roman" w:eastAsia="方正仿宋简体" w:cs="Times New Roman"/>
          <w:color w:val="auto"/>
          <w:kern w:val="2"/>
          <w:sz w:val="28"/>
          <w:szCs w:val="28"/>
          <w:u w:val="none"/>
          <w:lang w:val="en-US" w:eastAsia="zh-CN"/>
        </w:rPr>
        <w:t>（三）</w:t>
      </w:r>
      <w:r>
        <w:rPr>
          <w:rFonts w:hint="default" w:ascii="Times New Roman" w:hAnsi="Times New Roman" w:eastAsia="方正仿宋简体" w:cs="Times New Roman"/>
          <w:color w:val="auto"/>
          <w:kern w:val="2"/>
          <w:sz w:val="28"/>
          <w:szCs w:val="28"/>
          <w:u w:val="none"/>
          <w:lang w:val="en-US" w:eastAsia="zh-CN"/>
        </w:rPr>
        <w:t>活动地点：包括但不限于成都市近郊户外公园营地一处（青龙湖、东安湖</w:t>
      </w:r>
      <w:r>
        <w:rPr>
          <w:rFonts w:hint="eastAsia" w:ascii="Times New Roman" w:hAnsi="Times New Roman" w:eastAsia="方正仿宋简体" w:cs="Times New Roman"/>
          <w:color w:val="auto"/>
          <w:kern w:val="2"/>
          <w:sz w:val="28"/>
          <w:szCs w:val="28"/>
          <w:u w:val="none"/>
          <w:lang w:val="en-US" w:eastAsia="zh-CN"/>
        </w:rPr>
        <w:t>主广场</w:t>
      </w:r>
      <w:r>
        <w:rPr>
          <w:rFonts w:hint="default" w:ascii="Times New Roman" w:hAnsi="Times New Roman" w:eastAsia="方正仿宋简体" w:cs="Times New Roman"/>
          <w:color w:val="auto"/>
          <w:kern w:val="2"/>
          <w:sz w:val="28"/>
          <w:szCs w:val="28"/>
          <w:u w:val="none"/>
          <w:lang w:val="en-US" w:eastAsia="zh-CN"/>
        </w:rPr>
        <w:t>、兴隆湖</w:t>
      </w:r>
      <w:r>
        <w:rPr>
          <w:rFonts w:hint="eastAsia" w:ascii="Times New Roman" w:hAnsi="Times New Roman" w:eastAsia="方正仿宋简体" w:cs="Times New Roman"/>
          <w:color w:val="auto"/>
          <w:kern w:val="2"/>
          <w:sz w:val="28"/>
          <w:szCs w:val="28"/>
          <w:u w:val="none"/>
          <w:lang w:val="en-US" w:eastAsia="zh-CN"/>
        </w:rPr>
        <w:t>路演中心</w:t>
      </w:r>
      <w:r>
        <w:rPr>
          <w:rFonts w:hint="default" w:ascii="Times New Roman" w:hAnsi="Times New Roman" w:eastAsia="方正仿宋简体" w:cs="Times New Roman"/>
          <w:color w:val="auto"/>
          <w:kern w:val="2"/>
          <w:sz w:val="28"/>
          <w:szCs w:val="28"/>
          <w:u w:val="none"/>
          <w:lang w:val="en-US" w:eastAsia="zh-CN"/>
        </w:rPr>
        <w:t>、桂溪生态公园、天府公园、通济花海、蔚然花海等）、成都市范围古镇或主题乐园一处（街子古镇、洛带古镇、黄龙溪古镇、融创乐园等）。</w:t>
      </w:r>
    </w:p>
    <w:p w14:paraId="65BBD6D6">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auto"/>
          <w:kern w:val="2"/>
          <w:sz w:val="28"/>
          <w:szCs w:val="28"/>
          <w:u w:val="none"/>
          <w:lang w:val="en-US" w:eastAsia="zh-CN"/>
        </w:rPr>
      </w:pPr>
      <w:r>
        <w:rPr>
          <w:rFonts w:hint="eastAsia" w:ascii="Times New Roman" w:hAnsi="Times New Roman" w:eastAsia="方正仿宋简体" w:cs="Times New Roman"/>
          <w:color w:val="auto"/>
          <w:kern w:val="2"/>
          <w:sz w:val="28"/>
          <w:szCs w:val="28"/>
          <w:u w:val="none"/>
          <w:lang w:val="en-US" w:eastAsia="zh-CN"/>
        </w:rPr>
        <w:t>（四）</w:t>
      </w:r>
      <w:r>
        <w:rPr>
          <w:rFonts w:hint="default" w:ascii="Times New Roman" w:hAnsi="Times New Roman" w:eastAsia="方正仿宋简体" w:cs="Times New Roman"/>
          <w:color w:val="auto"/>
          <w:kern w:val="2"/>
          <w:sz w:val="28"/>
          <w:szCs w:val="28"/>
          <w:u w:val="none"/>
          <w:lang w:val="en-US" w:eastAsia="zh-CN"/>
        </w:rPr>
        <w:t>活动对象及批次：成都市新都区第三人民医院</w:t>
      </w:r>
      <w:r>
        <w:rPr>
          <w:rFonts w:hint="eastAsia" w:ascii="Times New Roman" w:hAnsi="Times New Roman" w:eastAsia="方正仿宋简体" w:cs="Times New Roman"/>
          <w:color w:val="auto"/>
          <w:kern w:val="2"/>
          <w:sz w:val="28"/>
          <w:szCs w:val="28"/>
          <w:u w:val="none"/>
          <w:lang w:val="en-US" w:eastAsia="zh-CN"/>
        </w:rPr>
        <w:t>医护人员共610</w:t>
      </w:r>
      <w:r>
        <w:rPr>
          <w:rFonts w:hint="default" w:ascii="Times New Roman" w:hAnsi="Times New Roman" w:eastAsia="方正仿宋简体" w:cs="Times New Roman"/>
          <w:color w:val="auto"/>
          <w:kern w:val="2"/>
          <w:sz w:val="28"/>
          <w:szCs w:val="28"/>
          <w:u w:val="none"/>
          <w:lang w:val="en-US" w:eastAsia="zh-CN"/>
        </w:rPr>
        <w:t>人，共分</w:t>
      </w:r>
      <w:r>
        <w:rPr>
          <w:rFonts w:hint="eastAsia" w:ascii="Times New Roman" w:hAnsi="Times New Roman" w:eastAsia="方正仿宋简体" w:cs="Times New Roman"/>
          <w:color w:val="auto"/>
          <w:kern w:val="2"/>
          <w:sz w:val="28"/>
          <w:szCs w:val="28"/>
          <w:u w:val="none"/>
          <w:lang w:val="en-US" w:eastAsia="zh-CN"/>
        </w:rPr>
        <w:t>3</w:t>
      </w:r>
      <w:r>
        <w:rPr>
          <w:rFonts w:hint="default" w:ascii="Times New Roman" w:hAnsi="Times New Roman" w:eastAsia="方正仿宋简体" w:cs="Times New Roman"/>
          <w:color w:val="auto"/>
          <w:kern w:val="2"/>
          <w:sz w:val="28"/>
          <w:szCs w:val="28"/>
          <w:u w:val="none"/>
          <w:lang w:val="en-US" w:eastAsia="zh-CN"/>
        </w:rPr>
        <w:t>批次执行</w:t>
      </w:r>
      <w:r>
        <w:rPr>
          <w:rFonts w:hint="eastAsia" w:ascii="Times New Roman" w:hAnsi="Times New Roman" w:eastAsia="方正仿宋简体" w:cs="Times New Roman"/>
          <w:color w:val="auto"/>
          <w:kern w:val="2"/>
          <w:sz w:val="28"/>
          <w:szCs w:val="28"/>
          <w:u w:val="none"/>
          <w:lang w:val="en-US" w:eastAsia="zh-CN"/>
        </w:rPr>
        <w:t>（每批次约200人），</w:t>
      </w:r>
      <w:r>
        <w:rPr>
          <w:rFonts w:hint="default" w:ascii="Times New Roman" w:hAnsi="Times New Roman" w:eastAsia="方正仿宋简体" w:cs="Times New Roman"/>
          <w:color w:val="auto"/>
          <w:kern w:val="2"/>
          <w:sz w:val="28"/>
          <w:szCs w:val="28"/>
          <w:u w:val="none"/>
          <w:lang w:val="en-US" w:eastAsia="zh-CN"/>
        </w:rPr>
        <w:t>每批次活动时间为一天（不低于6小时）。</w:t>
      </w:r>
    </w:p>
    <w:p w14:paraId="6602E267">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auto"/>
          <w:kern w:val="2"/>
          <w:sz w:val="28"/>
          <w:szCs w:val="28"/>
          <w:u w:val="none"/>
          <w:lang w:val="en-US" w:eastAsia="zh-CN"/>
        </w:rPr>
      </w:pPr>
      <w:r>
        <w:rPr>
          <w:rFonts w:hint="eastAsia" w:ascii="Times New Roman" w:hAnsi="Times New Roman" w:eastAsia="方正仿宋简体" w:cs="Times New Roman"/>
          <w:color w:val="auto"/>
          <w:kern w:val="2"/>
          <w:sz w:val="28"/>
          <w:szCs w:val="28"/>
          <w:u w:val="none"/>
          <w:lang w:val="en-US" w:eastAsia="zh-CN"/>
        </w:rPr>
        <w:t>（五）</w:t>
      </w:r>
      <w:r>
        <w:rPr>
          <w:rFonts w:hint="default" w:ascii="Times New Roman" w:hAnsi="Times New Roman" w:eastAsia="方正仿宋简体" w:cs="Times New Roman"/>
          <w:color w:val="auto"/>
          <w:kern w:val="2"/>
          <w:sz w:val="28"/>
          <w:szCs w:val="28"/>
          <w:u w:val="none"/>
          <w:lang w:val="en-US" w:eastAsia="zh-CN"/>
        </w:rPr>
        <w:t>活动场地：场地满足安全、开阔的条件，具有能够一次性容纳</w:t>
      </w:r>
      <w:r>
        <w:rPr>
          <w:rFonts w:hint="eastAsia" w:ascii="Times New Roman" w:hAnsi="Times New Roman" w:eastAsia="方正仿宋简体" w:cs="Times New Roman"/>
          <w:color w:val="auto"/>
          <w:kern w:val="2"/>
          <w:sz w:val="28"/>
          <w:szCs w:val="28"/>
          <w:u w:val="none"/>
          <w:lang w:val="en-US" w:eastAsia="zh-CN"/>
        </w:rPr>
        <w:t>单批次最大人数</w:t>
      </w:r>
      <w:r>
        <w:rPr>
          <w:rFonts w:hint="default" w:ascii="Times New Roman" w:hAnsi="Times New Roman" w:eastAsia="方正仿宋简体" w:cs="Times New Roman"/>
          <w:color w:val="auto"/>
          <w:kern w:val="2"/>
          <w:sz w:val="28"/>
          <w:szCs w:val="28"/>
          <w:u w:val="none"/>
          <w:lang w:val="en-US" w:eastAsia="zh-CN"/>
        </w:rPr>
        <w:t>的场地，搭建有专业完善的活动设施，配备有专业完善的急救设施，具备休息茶歇区域。</w:t>
      </w:r>
    </w:p>
    <w:p w14:paraId="31281BB0">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auto"/>
          <w:kern w:val="2"/>
          <w:sz w:val="28"/>
          <w:szCs w:val="28"/>
          <w:u w:val="none"/>
          <w:lang w:val="en-US" w:eastAsia="zh-CN"/>
        </w:rPr>
      </w:pPr>
      <w:r>
        <w:rPr>
          <w:rFonts w:hint="eastAsia" w:ascii="Times New Roman" w:hAnsi="Times New Roman" w:eastAsia="方正仿宋简体" w:cs="Times New Roman"/>
          <w:color w:val="auto"/>
          <w:kern w:val="2"/>
          <w:sz w:val="28"/>
          <w:szCs w:val="28"/>
          <w:u w:val="none"/>
          <w:lang w:val="en-US" w:eastAsia="zh-CN"/>
        </w:rPr>
        <w:t>（六）</w:t>
      </w:r>
      <w:r>
        <w:rPr>
          <w:rFonts w:hint="default" w:ascii="Times New Roman" w:hAnsi="Times New Roman" w:eastAsia="方正仿宋简体" w:cs="Times New Roman"/>
          <w:color w:val="auto"/>
          <w:kern w:val="2"/>
          <w:sz w:val="28"/>
          <w:szCs w:val="28"/>
          <w:u w:val="none"/>
          <w:lang w:val="en-US" w:eastAsia="zh-CN"/>
        </w:rPr>
        <w:t>活动物料及现场布置：供应商须提前根据采购人要求，做好场地踩点，定制相关活动所需的现场氛围营造材料。至少在活动前一周提前做好场地预定，至少提前1天完成现场广告物料准备及现场布置。按照参与活动人数合理配备接送车辆（需每个座位配备一瓶矿泉水）按时到达采购人指定地点统一接送参与活动的人员，车辆应空调旅游大巴。供应商在活动现场需提供茶歇。</w:t>
      </w:r>
      <w:r>
        <w:rPr>
          <w:rFonts w:hint="eastAsia" w:ascii="Times New Roman" w:hAnsi="Times New Roman" w:eastAsia="方正仿宋简体" w:cs="Times New Roman"/>
          <w:color w:val="auto"/>
          <w:kern w:val="2"/>
          <w:sz w:val="28"/>
          <w:szCs w:val="28"/>
          <w:highlight w:val="none"/>
          <w:u w:val="none"/>
          <w:lang w:val="en-US" w:eastAsia="zh-CN"/>
        </w:rPr>
        <w:t>另外，</w:t>
      </w:r>
      <w:r>
        <w:rPr>
          <w:rFonts w:hint="default" w:ascii="Times New Roman" w:hAnsi="Times New Roman" w:eastAsia="方正仿宋简体" w:cs="Times New Roman"/>
          <w:color w:val="auto"/>
          <w:kern w:val="2"/>
          <w:sz w:val="28"/>
          <w:szCs w:val="28"/>
          <w:highlight w:val="none"/>
          <w:u w:val="none"/>
          <w:lang w:val="en-US" w:eastAsia="zh-CN"/>
        </w:rPr>
        <w:t>供应商须为每位参与活动的医护人员提供</w:t>
      </w:r>
      <w:r>
        <w:rPr>
          <w:rFonts w:hint="eastAsia" w:ascii="Times New Roman" w:hAnsi="Times New Roman" w:eastAsia="方正仿宋简体" w:cs="Times New Roman"/>
          <w:color w:val="auto"/>
          <w:kern w:val="2"/>
          <w:sz w:val="28"/>
          <w:szCs w:val="28"/>
          <w:highlight w:val="none"/>
          <w:u w:val="none"/>
          <w:lang w:val="en-US" w:eastAsia="zh-CN"/>
        </w:rPr>
        <w:t>活动纪念品</w:t>
      </w:r>
      <w:r>
        <w:rPr>
          <w:rFonts w:hint="default" w:ascii="Times New Roman" w:hAnsi="Times New Roman" w:eastAsia="方正仿宋简体" w:cs="Times New Roman"/>
          <w:color w:val="auto"/>
          <w:kern w:val="2"/>
          <w:sz w:val="28"/>
          <w:szCs w:val="28"/>
          <w:highlight w:val="none"/>
          <w:u w:val="none"/>
          <w:lang w:val="en-US" w:eastAsia="zh-CN"/>
        </w:rPr>
        <w:t>，</w:t>
      </w:r>
      <w:r>
        <w:rPr>
          <w:rFonts w:hint="eastAsia" w:ascii="Times New Roman" w:hAnsi="Times New Roman" w:eastAsia="方正仿宋简体" w:cs="Times New Roman"/>
          <w:color w:val="auto"/>
          <w:kern w:val="2"/>
          <w:sz w:val="28"/>
          <w:szCs w:val="28"/>
          <w:highlight w:val="none"/>
          <w:u w:val="none"/>
          <w:lang w:val="en-US" w:eastAsia="zh-CN"/>
        </w:rPr>
        <w:t>活动纪念品</w:t>
      </w:r>
      <w:r>
        <w:rPr>
          <w:rFonts w:hint="default" w:ascii="Times New Roman" w:hAnsi="Times New Roman" w:eastAsia="方正仿宋简体" w:cs="Times New Roman"/>
          <w:color w:val="auto"/>
          <w:kern w:val="2"/>
          <w:sz w:val="28"/>
          <w:szCs w:val="28"/>
          <w:highlight w:val="none"/>
          <w:u w:val="none"/>
          <w:lang w:val="en-US" w:eastAsia="zh-CN"/>
        </w:rPr>
        <w:t>标准不低于100元/人。</w:t>
      </w:r>
      <w:r>
        <w:rPr>
          <w:rFonts w:hint="eastAsia" w:ascii="Times New Roman" w:hAnsi="Times New Roman" w:eastAsia="方正仿宋简体" w:cs="Times New Roman"/>
          <w:color w:val="auto"/>
          <w:kern w:val="2"/>
          <w:sz w:val="28"/>
          <w:szCs w:val="28"/>
          <w:highlight w:val="none"/>
          <w:u w:val="none"/>
          <w:lang w:val="en-US" w:eastAsia="zh-CN"/>
        </w:rPr>
        <w:t>活动纪念品</w:t>
      </w:r>
      <w:r>
        <w:rPr>
          <w:rFonts w:hint="default" w:ascii="Times New Roman" w:hAnsi="Times New Roman" w:eastAsia="方正仿宋简体" w:cs="Times New Roman"/>
          <w:color w:val="auto"/>
          <w:kern w:val="2"/>
          <w:sz w:val="28"/>
          <w:szCs w:val="28"/>
          <w:highlight w:val="none"/>
          <w:u w:val="none"/>
          <w:lang w:val="en-US" w:eastAsia="zh-CN"/>
        </w:rPr>
        <w:t>总份数按实际参与人数核算。</w:t>
      </w:r>
    </w:p>
    <w:p w14:paraId="2C7E8CAD">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pP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（七）</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饮食保障：供应商须负责活动当天的全员午餐</w:t>
      </w:r>
      <w:r>
        <w:rPr>
          <w:rFonts w:hint="default" w:ascii="Times New Roman" w:hAnsi="Times New Roman" w:eastAsia="方正仿宋简体" w:cs="Times New Roman"/>
          <w:color w:val="auto"/>
          <w:kern w:val="2"/>
          <w:sz w:val="28"/>
          <w:szCs w:val="28"/>
          <w:u w:val="none"/>
          <w:lang w:val="en-US" w:eastAsia="zh-CN"/>
        </w:rPr>
        <w:t>，餐食为中餐，按照10人一桌，</w:t>
      </w:r>
      <w:r>
        <w:rPr>
          <w:rFonts w:hint="eastAsia" w:ascii="Times New Roman" w:hAnsi="Times New Roman" w:eastAsia="方正仿宋简体" w:cs="Times New Roman"/>
          <w:color w:val="auto"/>
          <w:kern w:val="2"/>
          <w:sz w:val="28"/>
          <w:szCs w:val="28"/>
          <w:u w:val="none"/>
          <w:lang w:val="en-US" w:eastAsia="zh-CN"/>
        </w:rPr>
        <w:t>7</w:t>
      </w:r>
      <w:r>
        <w:rPr>
          <w:rFonts w:hint="default" w:ascii="Times New Roman" w:hAnsi="Times New Roman" w:eastAsia="方正仿宋简体" w:cs="Times New Roman"/>
          <w:color w:val="auto"/>
          <w:kern w:val="2"/>
          <w:sz w:val="28"/>
          <w:szCs w:val="28"/>
          <w:u w:val="none"/>
          <w:lang w:val="en-US" w:eastAsia="zh-CN"/>
        </w:rPr>
        <w:t>荤</w:t>
      </w:r>
      <w:r>
        <w:rPr>
          <w:rFonts w:hint="eastAsia" w:ascii="Times New Roman" w:hAnsi="Times New Roman" w:eastAsia="方正仿宋简体" w:cs="Times New Roman"/>
          <w:color w:val="auto"/>
          <w:kern w:val="2"/>
          <w:sz w:val="28"/>
          <w:szCs w:val="28"/>
          <w:u w:val="none"/>
          <w:lang w:val="en-US" w:eastAsia="zh-CN"/>
        </w:rPr>
        <w:t>4</w:t>
      </w:r>
      <w:r>
        <w:rPr>
          <w:rFonts w:hint="default" w:ascii="Times New Roman" w:hAnsi="Times New Roman" w:eastAsia="方正仿宋简体" w:cs="Times New Roman"/>
          <w:color w:val="auto"/>
          <w:kern w:val="2"/>
          <w:sz w:val="28"/>
          <w:szCs w:val="28"/>
          <w:u w:val="none"/>
          <w:lang w:val="en-US" w:eastAsia="zh-CN"/>
        </w:rPr>
        <w:t>素</w:t>
      </w:r>
      <w:r>
        <w:rPr>
          <w:rFonts w:hint="eastAsia" w:ascii="Times New Roman" w:hAnsi="Times New Roman" w:eastAsia="方正仿宋简体" w:cs="Times New Roman"/>
          <w:color w:val="auto"/>
          <w:kern w:val="2"/>
          <w:sz w:val="28"/>
          <w:szCs w:val="28"/>
          <w:u w:val="none"/>
          <w:lang w:val="en-US" w:eastAsia="zh-CN"/>
        </w:rPr>
        <w:t>1</w:t>
      </w:r>
      <w:r>
        <w:rPr>
          <w:rFonts w:hint="default" w:ascii="Times New Roman" w:hAnsi="Times New Roman" w:eastAsia="方正仿宋简体" w:cs="Times New Roman"/>
          <w:color w:val="auto"/>
          <w:kern w:val="2"/>
          <w:sz w:val="28"/>
          <w:szCs w:val="28"/>
          <w:u w:val="none"/>
          <w:lang w:val="en-US" w:eastAsia="zh-CN"/>
        </w:rPr>
        <w:t>汤</w:t>
      </w:r>
      <w:r>
        <w:rPr>
          <w:rFonts w:hint="eastAsia" w:ascii="Times New Roman" w:hAnsi="Times New Roman" w:eastAsia="方正仿宋简体" w:cs="Times New Roman"/>
          <w:color w:val="auto"/>
          <w:kern w:val="2"/>
          <w:sz w:val="28"/>
          <w:szCs w:val="28"/>
          <w:u w:val="none"/>
          <w:lang w:val="en-US" w:eastAsia="zh-CN"/>
        </w:rPr>
        <w:t>，</w:t>
      </w:r>
      <w:r>
        <w:rPr>
          <w:rFonts w:hint="default" w:ascii="Times New Roman" w:hAnsi="Times New Roman" w:eastAsia="方正仿宋简体" w:cs="Times New Roman"/>
          <w:color w:val="auto"/>
          <w:kern w:val="2"/>
          <w:sz w:val="28"/>
          <w:szCs w:val="28"/>
          <w:u w:val="none"/>
          <w:lang w:val="en-US" w:eastAsia="zh-CN"/>
        </w:rPr>
        <w:t>用餐地点应符合餐饮卫生标准，</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用餐地点须提前征得采购人同意。</w:t>
      </w:r>
    </w:p>
    <w:p w14:paraId="697F9339">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pP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（八）</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装备保障：供应商为本项目开展相关活动所配置的器械设备应保证其符合国家安全标准。</w:t>
      </w:r>
    </w:p>
    <w:p w14:paraId="4F1D48C8">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pP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（九）</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保险保障：供应商须为每位参与活动的人员购买赔付额度不低于30万元的人身意外保险和3.5万元的意外医疗保险。</w:t>
      </w:r>
    </w:p>
    <w:p w14:paraId="3D535D26">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pP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（十）</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摄影保障：配备专业摄影摄像团队全程跟拍；可按需产出</w:t>
      </w: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图片、</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短视频、专题片等各类宣传</w:t>
      </w: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物料</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；活动结束后按采购人要求剪辑整理，交付全套高清图文、成片视频及源文件。</w:t>
      </w:r>
    </w:p>
    <w:p w14:paraId="2E7D7CB6">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pP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（十一）</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供应商管理团队及安全要求：</w:t>
      </w:r>
    </w:p>
    <w:p w14:paraId="0D3118E3">
      <w:pPr>
        <w:keepNext w:val="0"/>
        <w:keepLines w:val="0"/>
        <w:pageBreakBefore w:val="0"/>
        <w:widowControl w:val="0"/>
        <w:kinsoku/>
        <w:wordWrap/>
        <w:overflowPunct/>
        <w:topLinePunct w:val="0"/>
        <w:autoSpaceDE/>
        <w:autoSpaceDN/>
        <w:bidi w:val="0"/>
        <w:adjustRightInd/>
        <w:snapToGrid/>
        <w:spacing w:after="0" w:line="580" w:lineRule="exact"/>
        <w:ind w:firstLine="560" w:firstLineChars="200"/>
        <w:jc w:val="both"/>
        <w:textAlignment w:val="auto"/>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pP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1.</w:t>
      </w:r>
      <w:r>
        <w:rPr>
          <w:rFonts w:hint="default"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供应商须成立由不少于10人组成的活动管理团队，其中包括策划师至少2人、执行教练至少6人、其他协助工作人员至少2人；</w:t>
      </w:r>
    </w:p>
    <w:p w14:paraId="1E6367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80" w:lineRule="exact"/>
        <w:ind w:left="0" w:right="0" w:firstLine="560" w:firstLineChars="200"/>
        <w:jc w:val="left"/>
        <w:textAlignment w:val="auto"/>
        <w:rPr>
          <w:rFonts w:hint="default" w:ascii="Times New Roman" w:hAnsi="Times New Roman" w:eastAsia="方正仿宋简体" w:cs="Times New Roman"/>
          <w:color w:val="auto"/>
          <w:kern w:val="2"/>
          <w:sz w:val="28"/>
          <w:szCs w:val="28"/>
          <w:lang w:val="en-US" w:eastAsia="zh-CN" w:bidi="ar-SA"/>
        </w:rPr>
      </w:pPr>
      <w:r>
        <w:rPr>
          <w:rFonts w:hint="eastAsia" w:ascii="Times New Roman" w:hAnsi="Times New Roman" w:eastAsia="方正仿宋简体" w:cs="Times New Roman"/>
          <w:color w:val="000000" w:themeColor="text1"/>
          <w:kern w:val="2"/>
          <w:sz w:val="28"/>
          <w:szCs w:val="28"/>
          <w:u w:val="none"/>
          <w:lang w:val="en-US" w:eastAsia="zh-CN"/>
          <w14:textFill>
            <w14:solidFill>
              <w14:schemeClr w14:val="tx1"/>
            </w14:solidFill>
          </w14:textFill>
        </w:rPr>
        <w:t>2.</w:t>
      </w:r>
      <w:r>
        <w:rPr>
          <w:rFonts w:hint="default" w:ascii="Times New Roman" w:hAnsi="Times New Roman" w:eastAsia="方正仿宋简体" w:cs="Times New Roman"/>
          <w:color w:val="auto"/>
          <w:kern w:val="2"/>
          <w:sz w:val="28"/>
          <w:szCs w:val="28"/>
          <w:lang w:val="en-US" w:eastAsia="zh-CN" w:bidi="ar-SA"/>
        </w:rPr>
        <w:t>全域安全主体责任</w:t>
      </w:r>
      <w:r>
        <w:rPr>
          <w:rFonts w:hint="eastAsia" w:ascii="Times New Roman" w:hAnsi="Times New Roman" w:eastAsia="方正仿宋简体" w:cs="Times New Roman"/>
          <w:color w:val="auto"/>
          <w:kern w:val="2"/>
          <w:sz w:val="28"/>
          <w:szCs w:val="28"/>
          <w:lang w:val="en-US" w:eastAsia="zh-CN" w:bidi="ar-SA"/>
        </w:rPr>
        <w:t>：</w:t>
      </w:r>
      <w:r>
        <w:rPr>
          <w:rFonts w:hint="default" w:ascii="Times New Roman" w:hAnsi="Times New Roman" w:eastAsia="方正仿宋简体" w:cs="Times New Roman"/>
          <w:color w:val="auto"/>
          <w:kern w:val="2"/>
          <w:sz w:val="28"/>
          <w:szCs w:val="28"/>
          <w:lang w:val="en-US" w:eastAsia="zh-CN" w:bidi="ar-SA"/>
        </w:rPr>
        <w:t>服务商承担本次活动全部安全责任</w:t>
      </w:r>
      <w:r>
        <w:rPr>
          <w:rFonts w:hint="eastAsia" w:ascii="Times New Roman" w:hAnsi="Times New Roman" w:eastAsia="方正仿宋简体" w:cs="Times New Roman"/>
          <w:color w:val="auto"/>
          <w:kern w:val="2"/>
          <w:sz w:val="28"/>
          <w:szCs w:val="28"/>
          <w:lang w:val="en-US" w:eastAsia="zh-CN" w:bidi="ar-SA"/>
        </w:rPr>
        <w:t>，</w:t>
      </w:r>
      <w:r>
        <w:rPr>
          <w:rFonts w:hint="default" w:ascii="Times New Roman" w:hAnsi="Times New Roman" w:eastAsia="方正仿宋简体" w:cs="Times New Roman"/>
          <w:color w:val="auto"/>
          <w:kern w:val="2"/>
          <w:sz w:val="28"/>
          <w:szCs w:val="28"/>
          <w:lang w:val="en-US" w:eastAsia="zh-CN" w:bidi="ar-SA"/>
        </w:rPr>
        <w:t>涵盖</w:t>
      </w:r>
      <w:r>
        <w:rPr>
          <w:rFonts w:hint="eastAsia" w:ascii="Times New Roman" w:hAnsi="Times New Roman" w:eastAsia="方正仿宋简体" w:cs="Times New Roman"/>
          <w:color w:val="auto"/>
          <w:kern w:val="2"/>
          <w:sz w:val="28"/>
          <w:szCs w:val="28"/>
          <w:lang w:val="en-US" w:eastAsia="zh-CN" w:bidi="ar-SA"/>
        </w:rPr>
        <w:t>全体参与人员</w:t>
      </w:r>
      <w:r>
        <w:rPr>
          <w:rFonts w:hint="default" w:ascii="Times New Roman" w:hAnsi="Times New Roman" w:eastAsia="方正仿宋简体" w:cs="Times New Roman"/>
          <w:color w:val="auto"/>
          <w:kern w:val="2"/>
          <w:sz w:val="28"/>
          <w:szCs w:val="28"/>
          <w:lang w:val="en-US" w:eastAsia="zh-CN" w:bidi="ar-SA"/>
        </w:rPr>
        <w:t>往返交通、人身及财产安全、餐食食品安全、场地设施使用安全</w:t>
      </w:r>
      <w:r>
        <w:rPr>
          <w:rFonts w:hint="eastAsia" w:ascii="Times New Roman" w:hAnsi="Times New Roman" w:eastAsia="方正仿宋简体" w:cs="Times New Roman"/>
          <w:color w:val="auto"/>
          <w:kern w:val="2"/>
          <w:sz w:val="28"/>
          <w:szCs w:val="28"/>
          <w:lang w:val="en-US" w:eastAsia="zh-CN" w:bidi="ar-SA"/>
        </w:rPr>
        <w:t>；</w:t>
      </w:r>
      <w:r>
        <w:rPr>
          <w:rFonts w:hint="default" w:ascii="Times New Roman" w:hAnsi="Times New Roman" w:eastAsia="方正仿宋简体" w:cs="Times New Roman"/>
          <w:color w:val="auto"/>
          <w:kern w:val="2"/>
          <w:sz w:val="28"/>
          <w:szCs w:val="28"/>
          <w:lang w:val="en-US" w:eastAsia="zh-CN" w:bidi="ar-SA"/>
        </w:rPr>
        <w:t>须编制专项应急预案</w:t>
      </w:r>
      <w:r>
        <w:rPr>
          <w:rFonts w:hint="eastAsia" w:ascii="Times New Roman" w:hAnsi="Times New Roman" w:eastAsia="方正仿宋简体" w:cs="Times New Roman"/>
          <w:color w:val="auto"/>
          <w:kern w:val="2"/>
          <w:sz w:val="28"/>
          <w:szCs w:val="28"/>
          <w:lang w:val="en-US" w:eastAsia="zh-CN" w:bidi="ar-SA"/>
        </w:rPr>
        <w:t>，</w:t>
      </w:r>
      <w:r>
        <w:rPr>
          <w:rFonts w:hint="default" w:ascii="Times New Roman" w:hAnsi="Times New Roman" w:eastAsia="方正仿宋简体" w:cs="Times New Roman"/>
          <w:color w:val="auto"/>
          <w:kern w:val="2"/>
          <w:sz w:val="28"/>
          <w:szCs w:val="28"/>
          <w:lang w:val="en-US" w:eastAsia="zh-CN" w:bidi="ar-SA"/>
        </w:rPr>
        <w:t>配齐急救物资与应急工作人员</w:t>
      </w:r>
      <w:r>
        <w:rPr>
          <w:rFonts w:hint="eastAsia" w:ascii="Times New Roman" w:hAnsi="Times New Roman" w:eastAsia="方正仿宋简体" w:cs="Times New Roman"/>
          <w:color w:val="auto"/>
          <w:kern w:val="2"/>
          <w:sz w:val="28"/>
          <w:szCs w:val="28"/>
          <w:lang w:val="en-US" w:eastAsia="zh-CN" w:bidi="ar-SA"/>
        </w:rPr>
        <w:t>，</w:t>
      </w:r>
      <w:r>
        <w:rPr>
          <w:rFonts w:hint="default" w:ascii="Times New Roman" w:hAnsi="Times New Roman" w:eastAsia="方正仿宋简体" w:cs="Times New Roman"/>
          <w:color w:val="auto"/>
          <w:kern w:val="2"/>
          <w:sz w:val="28"/>
          <w:szCs w:val="28"/>
          <w:lang w:val="en-US" w:eastAsia="zh-CN" w:bidi="ar-SA"/>
        </w:rPr>
        <w:t>活动全过程发生的人身损伤、财产损失、安全事故</w:t>
      </w:r>
      <w:r>
        <w:rPr>
          <w:rFonts w:hint="eastAsia" w:ascii="Times New Roman" w:hAnsi="Times New Roman" w:eastAsia="方正仿宋简体" w:cs="Times New Roman"/>
          <w:color w:val="auto"/>
          <w:kern w:val="2"/>
          <w:sz w:val="28"/>
          <w:szCs w:val="28"/>
          <w:lang w:val="en-US" w:eastAsia="zh-CN" w:bidi="ar-SA"/>
        </w:rPr>
        <w:t>，</w:t>
      </w:r>
      <w:r>
        <w:rPr>
          <w:rFonts w:hint="default" w:ascii="Times New Roman" w:hAnsi="Times New Roman" w:eastAsia="方正仿宋简体" w:cs="Times New Roman"/>
          <w:color w:val="auto"/>
          <w:kern w:val="2"/>
          <w:sz w:val="28"/>
          <w:szCs w:val="28"/>
          <w:lang w:val="en-US" w:eastAsia="zh-CN" w:bidi="ar-SA"/>
        </w:rPr>
        <w:t>全部责任与赔偿费用由服务商全额承担。</w:t>
      </w:r>
    </w:p>
    <w:p w14:paraId="66A14A89">
      <w:pPr>
        <w:keepNext w:val="0"/>
        <w:keepLines w:val="0"/>
        <w:pageBreakBefore w:val="0"/>
        <w:widowControl w:val="0"/>
        <w:kinsoku/>
        <w:wordWrap/>
        <w:overflowPunct/>
        <w:topLinePunct w:val="0"/>
        <w:autoSpaceDE/>
        <w:autoSpaceDN/>
        <w:bidi w:val="0"/>
        <w:adjustRightInd/>
        <w:snapToGrid/>
        <w:spacing w:after="0" w:line="580" w:lineRule="exact"/>
        <w:ind w:firstLine="562" w:firstLineChars="200"/>
        <w:jc w:val="both"/>
        <w:textAlignment w:val="auto"/>
        <w:rPr>
          <w:rFonts w:hint="eastAsia" w:ascii="Times New Roman" w:hAnsi="Times New Roman" w:eastAsia="方正仿宋简体" w:cs="Times New Roman"/>
          <w:b/>
          <w:bCs/>
          <w:color w:val="000000" w:themeColor="text1"/>
          <w:kern w:val="2"/>
          <w:sz w:val="28"/>
          <w:szCs w:val="28"/>
          <w:u w:val="none"/>
          <w:lang w:val="en-US" w:eastAsia="zh-CN"/>
          <w14:textFill>
            <w14:solidFill>
              <w14:schemeClr w14:val="tx1"/>
            </w14:solidFill>
          </w14:textFill>
        </w:rPr>
      </w:pPr>
      <w:r>
        <w:rPr>
          <w:rFonts w:hint="eastAsia" w:ascii="Times New Roman" w:hAnsi="Times New Roman" w:eastAsia="方正仿宋简体" w:cs="Times New Roman"/>
          <w:b/>
          <w:bCs/>
          <w:color w:val="000000" w:themeColor="text1"/>
          <w:kern w:val="2"/>
          <w:sz w:val="28"/>
          <w:szCs w:val="28"/>
          <w:u w:val="none"/>
          <w:lang w:val="en-US" w:eastAsia="zh-CN"/>
          <w14:textFill>
            <w14:solidFill>
              <w14:schemeClr w14:val="tx1"/>
            </w14:solidFill>
          </w14:textFill>
        </w:rPr>
        <w:t>本项目的具体需求以采购文件为准。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embedRegular r:id="rId1" w:fontKey="{64EA1DAD-DE50-416B-B5A1-FEB7394BC26B}"/>
  </w:font>
  <w:font w:name="方正小标宋简体">
    <w:panose1 w:val="03000509000000000000"/>
    <w:charset w:val="86"/>
    <w:family w:val="auto"/>
    <w:pitch w:val="default"/>
    <w:sig w:usb0="00000001" w:usb1="080E0000" w:usb2="00000000" w:usb3="00000000" w:csb0="00040000" w:csb1="00000000"/>
    <w:embedRegular r:id="rId2" w:fontKey="{684E01B3-5981-45A3-8980-841613634AAC}"/>
  </w:font>
  <w:font w:name="方正仿宋简体">
    <w:panose1 w:val="03000509000000000000"/>
    <w:charset w:val="86"/>
    <w:family w:val="auto"/>
    <w:pitch w:val="default"/>
    <w:sig w:usb0="00000001" w:usb1="080E0000" w:usb2="00000000" w:usb3="00000000" w:csb0="00040000" w:csb1="00000000"/>
    <w:embedRegular r:id="rId3" w:fontKey="{48C659BF-9974-4D33-8D6F-381C0AA01CF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4MDc4ZWE0MjIxZTAxZjA1MjM3ZTEyMGY5ZTc0MjQifQ=="/>
  </w:docVars>
  <w:rsids>
    <w:rsidRoot w:val="00000000"/>
    <w:rsid w:val="02CE70F1"/>
    <w:rsid w:val="0AE11352"/>
    <w:rsid w:val="0B756CA4"/>
    <w:rsid w:val="13354090"/>
    <w:rsid w:val="1F95194C"/>
    <w:rsid w:val="2ACB0237"/>
    <w:rsid w:val="32537490"/>
    <w:rsid w:val="36D411CF"/>
    <w:rsid w:val="43D46FF8"/>
    <w:rsid w:val="4AB03EA3"/>
    <w:rsid w:val="65032D5F"/>
    <w:rsid w:val="6D606C7E"/>
    <w:rsid w:val="704C2A14"/>
    <w:rsid w:val="707B7BC5"/>
    <w:rsid w:val="72CD5AB2"/>
    <w:rsid w:val="7B915F00"/>
    <w:rsid w:val="7BF13726"/>
    <w:rsid w:val="7D825D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4">
    <w:name w:val="heading 2"/>
    <w:basedOn w:val="1"/>
    <w:next w:val="1"/>
    <w:qFormat/>
    <w:uiPriority w:val="0"/>
    <w:pPr>
      <w:keepNext/>
      <w:keepLines/>
      <w:autoSpaceDE/>
      <w:autoSpaceDN/>
      <w:adjustRightInd/>
      <w:spacing w:before="260" w:after="260" w:line="416" w:lineRule="auto"/>
      <w:outlineLvl w:val="1"/>
    </w:pPr>
    <w:rPr>
      <w:rFonts w:ascii="Arial" w:hAnsi="Arial" w:eastAsia="黑体"/>
      <w:b/>
      <w:bCs/>
      <w:kern w:val="2"/>
      <w:sz w:val="32"/>
      <w:szCs w:val="32"/>
    </w:rPr>
  </w:style>
  <w:style w:type="character" w:default="1" w:styleId="9">
    <w:name w:val="Default Paragraph Font"/>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qFormat/>
    <w:uiPriority w:val="0"/>
    <w:rPr>
      <w:sz w:val="28"/>
    </w:rPr>
  </w:style>
  <w:style w:type="paragraph" w:styleId="3">
    <w:name w:val="Body Text First Indent"/>
    <w:basedOn w:val="2"/>
    <w:qFormat/>
    <w:uiPriority w:val="0"/>
    <w:pPr>
      <w:spacing w:line="240" w:lineRule="auto"/>
      <w:ind w:firstLine="420" w:firstLineChars="100"/>
    </w:pPr>
    <w:rPr>
      <w:sz w:val="21"/>
    </w:rPr>
  </w:style>
  <w:style w:type="paragraph" w:styleId="5">
    <w:name w:val="annotation text"/>
    <w:basedOn w:val="1"/>
    <w:autoRedefine/>
    <w:qFormat/>
    <w:uiPriority w:val="0"/>
    <w:pPr>
      <w:jc w:val="left"/>
    </w:pPr>
  </w:style>
  <w:style w:type="paragraph" w:styleId="6">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7">
    <w:name w:val="Normal (Web)"/>
    <w:basedOn w:val="1"/>
    <w:qFormat/>
    <w:uiPriority w:val="0"/>
    <w:rPr>
      <w:sz w:val="24"/>
    </w:rPr>
  </w:style>
  <w:style w:type="paragraph" w:customStyle="1" w:styleId="10">
    <w:name w:val="List Paragraph"/>
    <w:basedOn w:val="1"/>
    <w:qFormat/>
    <w:uiPriority w:val="0"/>
    <w:pPr>
      <w:autoSpaceDE/>
      <w:autoSpaceDN/>
      <w:adjustRightInd/>
      <w:spacing w:after="0"/>
      <w:ind w:firstLine="420" w:firstLineChars="200"/>
    </w:pPr>
    <w:rPr>
      <w:rFonts w:ascii="Calibri" w:hAnsi="Calibri"/>
      <w:kern w:val="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1538</Words>
  <Characters>1560</Characters>
  <Lines>0</Lines>
  <Paragraphs>0</Paragraphs>
  <TotalTime>96</TotalTime>
  <ScaleCrop>false</ScaleCrop>
  <LinksUpToDate>false</LinksUpToDate>
  <CharactersWithSpaces>1560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2025-06-03T00:03:00Z</dcterms:created>
  <dc:creator>Administrator</dc:creator>
  <cp:lastModifiedBy>稻草人</cp:lastModifiedBy>
  <dcterms:modified xsi:type="dcterms:W3CDTF">2026-08-14T09:40:07Z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eyJoZGlkIjoiZGQ4ZDI1NzA3N2I3OTUwZGEzYTg5ZGE3Mzc2MGUyNzEiLCJ1c2VySWQiOiIyNzUwOTk3MjAifQ==</vt:lpwstr>
  </property>
  <property fmtid="{D5CDD505-2E9C-101B-9397-08002B2CF9AE}" pid="4" name="ICV">
    <vt:lpwstr>F3FDEA85F2864420B92BA177F72A3B3C_12</vt:lpwstr>
  </property>
</Properties>
</file>