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BFAF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附件1 </w:t>
      </w:r>
      <w:bookmarkStart w:id="0" w:name="OLE_LINK1"/>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b/>
          <w:bCs/>
          <w:sz w:val="32"/>
          <w:szCs w:val="32"/>
        </w:rPr>
        <w:t>项目建设背景及需求</w:t>
      </w:r>
      <w:bookmarkEnd w:id="0"/>
    </w:p>
    <w:p w14:paraId="11EAF54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黑体" w:hAnsi="宋体" w:eastAsia="黑体" w:cs="黑体"/>
          <w:kern w:val="2"/>
          <w:sz w:val="32"/>
          <w:szCs w:val="32"/>
        </w:rPr>
      </w:pPr>
      <w:r>
        <w:rPr>
          <w:rFonts w:hint="eastAsia" w:ascii="黑体" w:hAnsi="黑体" w:eastAsia="黑体" w:cs="黑体"/>
          <w:b w:val="0"/>
          <w:bCs w:val="0"/>
          <w:sz w:val="32"/>
          <w:szCs w:val="32"/>
        </w:rPr>
        <w:t>项目建设背景及现状</w:t>
      </w:r>
    </w:p>
    <w:p w14:paraId="0AB7A1D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健康管理系统可打通院内业务数据，实现体检建档、慢病监测、随访干预、健康宣教闭环管理，简化</w:t>
      </w:r>
      <w:r>
        <w:rPr>
          <w:rFonts w:hint="eastAsia" w:ascii="仿宋" w:hAnsi="仿宋" w:eastAsia="仿宋" w:cs="仿宋"/>
          <w:sz w:val="28"/>
          <w:szCs w:val="28"/>
          <w:lang w:val="en-US" w:eastAsia="zh-CN"/>
        </w:rPr>
        <w:t>各类</w:t>
      </w:r>
      <w:bookmarkStart w:id="1" w:name="_GoBack"/>
      <w:bookmarkEnd w:id="1"/>
      <w:r>
        <w:rPr>
          <w:rFonts w:hint="eastAsia" w:ascii="仿宋" w:hAnsi="仿宋" w:eastAsia="仿宋" w:cs="仿宋"/>
          <w:sz w:val="28"/>
          <w:szCs w:val="28"/>
        </w:rPr>
        <w:t>资料填报流程，提升健康服务精细化水平，契合智慧医院建设整体规划，故</w:t>
      </w:r>
      <w:r>
        <w:rPr>
          <w:rFonts w:hint="eastAsia" w:ascii="仿宋" w:hAnsi="仿宋" w:eastAsia="仿宋" w:cs="仿宋"/>
          <w:sz w:val="28"/>
          <w:szCs w:val="28"/>
          <w:lang w:val="en-US" w:eastAsia="zh-CN"/>
        </w:rPr>
        <w:t>医院拟</w:t>
      </w:r>
      <w:r>
        <w:rPr>
          <w:rFonts w:hint="eastAsia" w:ascii="仿宋" w:hAnsi="仿宋" w:eastAsia="仿宋" w:cs="仿宋"/>
          <w:sz w:val="28"/>
          <w:szCs w:val="28"/>
        </w:rPr>
        <w:t>购健康管理系统。</w:t>
      </w:r>
    </w:p>
    <w:p w14:paraId="28DC4A9B">
      <w:pPr>
        <w:keepNext w:val="0"/>
        <w:keepLines w:val="0"/>
        <w:widowControl w:val="0"/>
        <w:suppressLineNumbers w:val="0"/>
        <w:spacing w:before="0" w:beforeAutospacing="0" w:after="0" w:afterAutospacing="0"/>
        <w:ind w:left="0" w:right="0"/>
        <w:jc w:val="both"/>
        <w:rPr>
          <w:rFonts w:hint="eastAsia" w:ascii="黑体" w:hAnsi="宋体" w:eastAsia="黑体" w:cs="黑体"/>
          <w:color w:val="auto"/>
          <w:kern w:val="2"/>
          <w:sz w:val="32"/>
          <w:szCs w:val="32"/>
        </w:rPr>
      </w:pPr>
      <w:r>
        <w:rPr>
          <w:rFonts w:hint="eastAsia" w:ascii="方正仿宋简体" w:hAnsi="方正仿宋简体" w:eastAsia="方正仿宋简体" w:cs="方正仿宋简体"/>
          <w:color w:val="auto"/>
          <w:kern w:val="2"/>
          <w:sz w:val="32"/>
          <w:szCs w:val="32"/>
          <w:lang w:val="en-US" w:eastAsia="zh-CN" w:bidi="ar"/>
        </w:rPr>
        <w:t xml:space="preserve">   </w:t>
      </w:r>
      <w:r>
        <w:rPr>
          <w:rFonts w:hint="eastAsia" w:ascii="黑体" w:hAnsi="宋体" w:eastAsia="黑体" w:cs="黑体"/>
          <w:color w:val="auto"/>
          <w:kern w:val="2"/>
          <w:sz w:val="32"/>
          <w:szCs w:val="32"/>
          <w:lang w:val="en-US" w:eastAsia="zh-CN" w:bidi="ar"/>
        </w:rPr>
        <w:t xml:space="preserve"> 二、项目服务要求</w:t>
      </w:r>
    </w:p>
    <w:p w14:paraId="4265A54C">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（一）基础平台模块</w:t>
      </w:r>
    </w:p>
    <w:p w14:paraId="02334BF8">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登记预约管理:</w:t>
      </w:r>
    </w:p>
    <w:p w14:paraId="7F0BCDFB">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支持个人</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团体线上（小程序</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公众号）</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线下预约，支持批量</w:t>
      </w:r>
      <w:r>
        <w:rPr>
          <w:rFonts w:hint="default" w:ascii="仿宋" w:hAnsi="仿宋" w:eastAsia="仿宋" w:cs="仿宋"/>
          <w:b w:val="0"/>
          <w:bCs/>
          <w:sz w:val="28"/>
          <w:szCs w:val="28"/>
          <w:lang w:val="en-US" w:eastAsia="zh-CN"/>
        </w:rPr>
        <w:t>Excel</w:t>
      </w:r>
      <w:r>
        <w:rPr>
          <w:rFonts w:hint="eastAsia" w:ascii="仿宋" w:hAnsi="仿宋" w:eastAsia="仿宋" w:cs="仿宋"/>
          <w:b w:val="0"/>
          <w:bCs/>
          <w:sz w:val="28"/>
          <w:szCs w:val="28"/>
          <w:lang w:val="en-US" w:eastAsia="zh-CN"/>
        </w:rPr>
        <w:t>人员名单导入预约；</w:t>
      </w:r>
    </w:p>
    <w:p w14:paraId="5357B67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支持身份证</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社保卡</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电子健康卡核验身份，刷身份证一键快速登记；</w:t>
      </w:r>
    </w:p>
    <w:p w14:paraId="104BC2E3">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支持差异化项目绑定：套餐选择、套餐加减单项、附加套餐、特殊项目等多种模式，自动进行项目合并；</w:t>
      </w:r>
    </w:p>
    <w:p w14:paraId="4DE5ED94">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支持单位受检者加项控费，可按实际情况增加项目为统收项目或自费项目。</w:t>
      </w:r>
    </w:p>
    <w:p w14:paraId="31F37435">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支持个人</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团体报价功能</w:t>
      </w:r>
    </w:p>
    <w:p w14:paraId="4273F304">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流程管理:</w:t>
      </w:r>
    </w:p>
    <w:p w14:paraId="78CDF30A">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支持条码</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人脸身份核验，各科室系统实时显示照片，防止冒名顶替；</w:t>
      </w:r>
    </w:p>
    <w:p w14:paraId="6A78AFD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支持漏检</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复检提醒，项目完成状态实时跟踪；</w:t>
      </w:r>
    </w:p>
    <w:p w14:paraId="6FF46F58">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支持体检自助一体机（扩展功能）：自助缴费、签到、打印指引单、条形码和报告。</w:t>
      </w:r>
    </w:p>
    <w:p w14:paraId="7FC09165">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收费结算管理:</w:t>
      </w:r>
    </w:p>
    <w:p w14:paraId="411D1D6A">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与</w:t>
      </w:r>
      <w:r>
        <w:rPr>
          <w:rFonts w:hint="default" w:ascii="仿宋" w:hAnsi="仿宋" w:eastAsia="仿宋" w:cs="仿宋"/>
          <w:b w:val="0"/>
          <w:bCs/>
          <w:sz w:val="28"/>
          <w:szCs w:val="28"/>
          <w:lang w:val="en-US" w:eastAsia="zh-CN"/>
        </w:rPr>
        <w:t>HIS</w:t>
      </w:r>
      <w:r>
        <w:rPr>
          <w:rFonts w:hint="eastAsia" w:ascii="仿宋" w:hAnsi="仿宋" w:eastAsia="仿宋" w:cs="仿宋"/>
          <w:b w:val="0"/>
          <w:bCs/>
          <w:sz w:val="28"/>
          <w:szCs w:val="28"/>
          <w:lang w:val="en-US" w:eastAsia="zh-CN"/>
        </w:rPr>
        <w:t>系统连接，实现体检与门诊一体化收费；</w:t>
      </w:r>
    </w:p>
    <w:p w14:paraId="63C41CF1">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支持套餐定价、优惠</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折扣规则；</w:t>
      </w:r>
    </w:p>
    <w:p w14:paraId="53EE1440">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支持预缴</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补缴</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退费、票据打印、团检对账、发票批量开具。</w:t>
      </w:r>
    </w:p>
    <w:p w14:paraId="696D357F">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（二）体检数据采集与质控模块</w:t>
      </w:r>
    </w:p>
    <w:p w14:paraId="78EFB5D8">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分科检查数据采集:</w:t>
      </w:r>
    </w:p>
    <w:p w14:paraId="224AD05E">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支持手动录入与设备自动对接两种方式采集检查结果；</w:t>
      </w:r>
    </w:p>
    <w:p w14:paraId="1F9CDA0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支持与</w:t>
      </w:r>
      <w:r>
        <w:rPr>
          <w:rFonts w:hint="default" w:ascii="仿宋" w:hAnsi="仿宋" w:eastAsia="仿宋" w:cs="仿宋"/>
          <w:b w:val="0"/>
          <w:bCs/>
          <w:sz w:val="28"/>
          <w:szCs w:val="28"/>
          <w:lang w:val="en-US" w:eastAsia="zh-CN"/>
        </w:rPr>
        <w:t>LIS/PACS/</w:t>
      </w:r>
      <w:r>
        <w:rPr>
          <w:rFonts w:hint="eastAsia" w:ascii="仿宋" w:hAnsi="仿宋" w:eastAsia="仿宋" w:cs="仿宋"/>
          <w:b w:val="0"/>
          <w:bCs/>
          <w:sz w:val="28"/>
          <w:szCs w:val="28"/>
          <w:lang w:val="en-US" w:eastAsia="zh-CN"/>
        </w:rPr>
        <w:t>心电报告系统等设备直连，实时抓取生化、影像、心电等数据；</w:t>
      </w:r>
    </w:p>
    <w:p w14:paraId="19820872">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支持异常值实时预警、危急值自动上报；</w:t>
      </w:r>
    </w:p>
    <w:p w14:paraId="2079766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支持检查结果模板结论选择，自动生成对应小结。</w:t>
      </w:r>
    </w:p>
    <w:p w14:paraId="1199C7CA">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全流程质量控制:</w:t>
      </w:r>
    </w:p>
    <w:p w14:paraId="5BBA8CC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内置医师分级审核机制（分科医师→总检医师），支持电子签名；</w:t>
      </w:r>
    </w:p>
    <w:p w14:paraId="7F27EF0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w:t>
      </w:r>
      <w:r>
        <w:rPr>
          <w:rFonts w:hint="default" w:ascii="仿宋" w:hAnsi="仿宋" w:eastAsia="仿宋" w:cs="仿宋"/>
          <w:b w:val="0"/>
          <w:bCs/>
          <w:sz w:val="28"/>
          <w:szCs w:val="28"/>
          <w:lang w:val="en-US" w:eastAsia="zh-CN"/>
        </w:rPr>
        <w:t>AI</w:t>
      </w:r>
      <w:r>
        <w:rPr>
          <w:rFonts w:hint="eastAsia" w:ascii="仿宋" w:hAnsi="仿宋" w:eastAsia="仿宋" w:cs="仿宋"/>
          <w:b w:val="0"/>
          <w:bCs/>
          <w:sz w:val="28"/>
          <w:szCs w:val="28"/>
          <w:lang w:val="en-US" w:eastAsia="zh-CN"/>
        </w:rPr>
        <w:t>辅助总检，自动识别结果判定逻辑错误、项目遗漏等常见问题；</w:t>
      </w:r>
    </w:p>
    <w:p w14:paraId="607D919C">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支持操作日志审计，检查过程全程留痕；</w:t>
      </w:r>
    </w:p>
    <w:p w14:paraId="0C17852B">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内置疾病库与常见结果库，支持历史体检数据自动对比分析。</w:t>
      </w:r>
    </w:p>
    <w:p w14:paraId="2EC6A12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（三）报告与健康管理模块</w:t>
      </w:r>
    </w:p>
    <w:p w14:paraId="4950A6F6">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报告生成与分发:</w:t>
      </w:r>
    </w:p>
    <w:p w14:paraId="1223396B">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自动生成体检小结</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综述</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建议，支持报告模板自定义；</w:t>
      </w:r>
    </w:p>
    <w:p w14:paraId="01384A4E">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总检医师在线审核、修订、电子签名；</w:t>
      </w:r>
    </w:p>
    <w:p w14:paraId="2507D2F8">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支持纸质报告打印和电子报告推送（邮件</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短信</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小程序</w:t>
      </w:r>
      <w:r>
        <w:rPr>
          <w:rFonts w:hint="default" w:ascii="仿宋" w:hAnsi="仿宋" w:eastAsia="仿宋" w:cs="仿宋"/>
          <w:b w:val="0"/>
          <w:bCs/>
          <w:sz w:val="28"/>
          <w:szCs w:val="28"/>
          <w:lang w:val="en-US" w:eastAsia="zh-CN"/>
        </w:rPr>
        <w:t>/APP</w:t>
      </w:r>
      <w:r>
        <w:rPr>
          <w:rFonts w:hint="eastAsia" w:ascii="仿宋" w:hAnsi="仿宋" w:eastAsia="仿宋" w:cs="仿宋"/>
          <w:b w:val="0"/>
          <w:bCs/>
          <w:sz w:val="28"/>
          <w:szCs w:val="28"/>
          <w:lang w:val="en-US" w:eastAsia="zh-CN"/>
        </w:rPr>
        <w:t>）；</w:t>
      </w:r>
    </w:p>
    <w:p w14:paraId="0C767B0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支持团体报告批量生成与统计分析。</w:t>
      </w:r>
    </w:p>
    <w:p w14:paraId="4699177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健康档案与检后管理:</w:t>
      </w:r>
    </w:p>
    <w:p w14:paraId="1D142BF9">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建立个人终身电子健康档案，体检数据结构化存储，支持多维度检索；</w:t>
      </w:r>
    </w:p>
    <w:p w14:paraId="4A2917F4">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支持慢病风险评估、健康风险分级分类；</w:t>
      </w:r>
    </w:p>
    <w:p w14:paraId="0393455E">
      <w:pPr>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 xml:space="preserve">支持重大阳性 </w:t>
      </w:r>
      <w:r>
        <w:rPr>
          <w:rFonts w:hint="default" w:ascii="仿宋" w:hAnsi="仿宋" w:eastAsia="仿宋" w:cs="仿宋"/>
          <w:b w:val="0"/>
          <w:bCs/>
          <w:sz w:val="28"/>
          <w:szCs w:val="28"/>
          <w:lang w:val="en-US" w:eastAsia="zh-CN"/>
        </w:rPr>
        <w:t xml:space="preserve">AB </w:t>
      </w:r>
      <w:r>
        <w:rPr>
          <w:rFonts w:hint="eastAsia" w:ascii="仿宋" w:hAnsi="仿宋" w:eastAsia="仿宋" w:cs="仿宋"/>
          <w:b w:val="0"/>
          <w:bCs/>
          <w:sz w:val="28"/>
          <w:szCs w:val="28"/>
          <w:lang w:val="en-US" w:eastAsia="zh-CN"/>
        </w:rPr>
        <w:t>类管理（此为重点内容）</w:t>
      </w:r>
    </w:p>
    <w:p w14:paraId="12FDAB01">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支持异常结果随访计划制定、复诊</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复查提醒；</w:t>
      </w:r>
    </w:p>
    <w:p w14:paraId="2848BF3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支持健康宣教内容推送、客户满意度调查。</w:t>
      </w:r>
    </w:p>
    <w:p w14:paraId="78D0BAF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统计分析与运营报表:</w:t>
      </w:r>
    </w:p>
    <w:p w14:paraId="11FFD482">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支持检次、营收、异常率、套餐销量等数据统计；</w:t>
      </w:r>
    </w:p>
    <w:p w14:paraId="3BF4C7CA">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支持团检单位健康分析报告生成；</w:t>
      </w:r>
    </w:p>
    <w:p w14:paraId="217C1C53">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支持多维度运营决策报表生成与导出。</w:t>
      </w:r>
    </w:p>
    <w:p w14:paraId="5D098593">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（四）系统管理与安全模块</w:t>
      </w:r>
    </w:p>
    <w:p w14:paraId="0B0AF7F6">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支持分级用户权限管理（医护</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运营</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管理员），权限可细化到具体检验项目；</w:t>
      </w:r>
    </w:p>
    <w:p w14:paraId="15622705">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支持操作日志审计、数据加密、备份与恢复；</w:t>
      </w:r>
    </w:p>
    <w:p w14:paraId="7AD621DB">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符合等保要求与医疗隐私合规；</w:t>
      </w:r>
    </w:p>
    <w:p w14:paraId="61FFBD92">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支持体检项目</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套餐维护、科室</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医师</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设备信息管理、预警规则配置等基础配置。</w:t>
      </w:r>
    </w:p>
    <w:p w14:paraId="5BE9BC46">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四、从业人员预防性体检模块需求</w:t>
      </w:r>
    </w:p>
    <w:p w14:paraId="1B9BF129">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（一）体检登记与身份核验</w:t>
      </w:r>
    </w:p>
    <w:p w14:paraId="56D4340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支持用人单位批量导入从业人员名单进行预约登记；</w:t>
      </w:r>
    </w:p>
    <w:p w14:paraId="0B2E0EDA">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支持身份证阅读器自动读取身份信息、证件照片，与预约信息自动核对；</w:t>
      </w:r>
    </w:p>
    <w:p w14:paraId="1C3A38BB">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严格执行</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三查</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制度：核查体检表姓名与身份证姓名是否一致、身份证与体检者是否一致、体检表照片与体检者是否一致；</w:t>
      </w:r>
    </w:p>
    <w:p w14:paraId="0F47C0D1">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支持个体从业人员凭营业执照或行业主管部门相关证明材料预约。</w:t>
      </w:r>
    </w:p>
    <w:p w14:paraId="78CB87DE">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（二）体检项目与结果管理</w:t>
      </w:r>
    </w:p>
    <w:p w14:paraId="6BC23173">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支持按照四川省规定的从业人员预防性体检项目表自动匹配检查项目；</w:t>
      </w:r>
    </w:p>
    <w:p w14:paraId="7E99F16C">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支持体检结果录入、审核、总检下结论（准予发证</w:t>
      </w:r>
      <w:r>
        <w:rPr>
          <w:rFonts w:hint="default" w:ascii="仿宋" w:hAnsi="仿宋" w:eastAsia="仿宋" w:cs="仿宋"/>
          <w:b w:val="0"/>
          <w:bCs/>
          <w:sz w:val="28"/>
          <w:szCs w:val="28"/>
          <w:lang w:val="en-US" w:eastAsia="zh-CN"/>
        </w:rPr>
        <w:t>/</w:t>
      </w:r>
      <w:r>
        <w:rPr>
          <w:rFonts w:hint="eastAsia" w:ascii="仿宋" w:hAnsi="仿宋" w:eastAsia="仿宋" w:cs="仿宋"/>
          <w:b w:val="0"/>
          <w:bCs/>
          <w:sz w:val="28"/>
          <w:szCs w:val="28"/>
          <w:lang w:val="en-US" w:eastAsia="zh-CN"/>
        </w:rPr>
        <w:t>不准予发证）；</w:t>
      </w:r>
    </w:p>
    <w:p w14:paraId="2B1B54E2">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支持体检完成后打印《四川省从业人员预防性体检项目表》，检查结果自动填充；</w:t>
      </w:r>
    </w:p>
    <w:p w14:paraId="5F281A00">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支持按照川卫规（</w:t>
      </w:r>
      <w:r>
        <w:rPr>
          <w:rFonts w:hint="default" w:ascii="仿宋" w:hAnsi="仿宋" w:eastAsia="仿宋" w:cs="仿宋"/>
          <w:b w:val="0"/>
          <w:bCs/>
          <w:sz w:val="28"/>
          <w:szCs w:val="28"/>
          <w:lang w:val="en-US" w:eastAsia="zh-CN"/>
        </w:rPr>
        <w:t>2023</w:t>
      </w:r>
      <w:r>
        <w:rPr>
          <w:rFonts w:hint="eastAsia" w:ascii="仿宋" w:hAnsi="仿宋" w:eastAsia="仿宋" w:cs="仿宋"/>
          <w:b w:val="0"/>
          <w:bCs/>
          <w:sz w:val="28"/>
          <w:szCs w:val="28"/>
          <w:lang w:val="en-US" w:eastAsia="zh-CN"/>
        </w:rPr>
        <w:t>）</w:t>
      </w:r>
      <w:r>
        <w:rPr>
          <w:rFonts w:hint="default" w:ascii="仿宋" w:hAnsi="仿宋" w:eastAsia="仿宋" w:cs="仿宋"/>
          <w:b w:val="0"/>
          <w:bCs/>
          <w:sz w:val="28"/>
          <w:szCs w:val="28"/>
          <w:lang w:val="en-US" w:eastAsia="zh-CN"/>
        </w:rPr>
        <w:t>2</w:t>
      </w:r>
      <w:r>
        <w:rPr>
          <w:rFonts w:hint="eastAsia" w:ascii="仿宋" w:hAnsi="仿宋" w:eastAsia="仿宋" w:cs="仿宋"/>
          <w:b w:val="0"/>
          <w:bCs/>
          <w:sz w:val="28"/>
          <w:szCs w:val="28"/>
          <w:lang w:val="en-US" w:eastAsia="zh-CN"/>
        </w:rPr>
        <w:t>号文件要求，打印四川省从业人员预防性体检合格证。</w:t>
      </w:r>
    </w:p>
    <w:p w14:paraId="7CD98F0F">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（三）电子健康证管理</w:t>
      </w:r>
    </w:p>
    <w:p w14:paraId="39FE8A22">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支持电子健康合格证的在线生成与发放，证件信息生成唯一识别二维码，便于扫码验证真伪；</w:t>
      </w:r>
    </w:p>
    <w:p w14:paraId="0AED4A55">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支持电子健康证到期自动提醒，向从业人员及用人单位发送临期、过期短信提醒；</w:t>
      </w:r>
    </w:p>
    <w:p w14:paraId="58C048F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支持从业人员通过手机端查询和下载电子健康证。</w:t>
      </w:r>
    </w:p>
    <w:p w14:paraId="491A1384">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（四）省平台数据对接</w:t>
      </w:r>
    </w:p>
    <w:p w14:paraId="7E57A860">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严格按照《四川省健康档案云平台从业人员预防性体检接口文档》要求，与四川省健康档案云平台对接；</w:t>
      </w:r>
    </w:p>
    <w:p w14:paraId="32C60399">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每天按要求及时、准确、完整上传从业人员预防性体检登记信息、体检结果信息及体检合格证信息；</w:t>
      </w:r>
    </w:p>
    <w:p w14:paraId="59F4C74D">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支持数据上传状态查询与异常告警。</w:t>
      </w:r>
    </w:p>
    <w:p w14:paraId="4291ACE7">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（五）档案管理与统计</w:t>
      </w:r>
    </w:p>
    <w:p w14:paraId="74C3273B">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建立从业人员预防性体检个人档案，保存期限不少于</w:t>
      </w:r>
      <w:r>
        <w:rPr>
          <w:rFonts w:hint="default" w:ascii="仿宋" w:hAnsi="仿宋" w:eastAsia="仿宋" w:cs="仿宋"/>
          <w:b w:val="0"/>
          <w:bCs/>
          <w:sz w:val="28"/>
          <w:szCs w:val="28"/>
          <w:lang w:val="en-US" w:eastAsia="zh-CN"/>
        </w:rPr>
        <w:t>15</w:t>
      </w:r>
      <w:r>
        <w:rPr>
          <w:rFonts w:hint="eastAsia" w:ascii="仿宋" w:hAnsi="仿宋" w:eastAsia="仿宋" w:cs="仿宋"/>
          <w:b w:val="0"/>
          <w:bCs/>
          <w:sz w:val="28"/>
          <w:szCs w:val="28"/>
          <w:lang w:val="en-US" w:eastAsia="zh-CN"/>
        </w:rPr>
        <w:t>年；</w:t>
      </w:r>
    </w:p>
    <w:p w14:paraId="1E32A0D9">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支持按年度汇总从业人员预防性体检情况，报县级卫生健康行政部门；</w:t>
      </w:r>
    </w:p>
    <w:p w14:paraId="4792F86F">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支持与疾病预防控制部门数据共享，提高传染病线索发现能力。</w:t>
      </w:r>
    </w:p>
    <w:p w14:paraId="7FED9336">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五、职业病体检模块扩展预留要求</w:t>
      </w:r>
    </w:p>
    <w:p w14:paraId="5DC145F3">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本次采购不包含职业病体检业务模块，但系统须在架构层面预留扩展能力，确保后续新增职业病体检模块时，无需更换或重建现有系统，具体要求如下：</w:t>
      </w:r>
    </w:p>
    <w:p w14:paraId="74730CAA">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模块化架构：系统采用模块化设计，职业病体检模块以独立插件形式接入，不影响现有健康体检和从业人员预防性体检模块的正常运行；</w:t>
      </w:r>
    </w:p>
    <w:p w14:paraId="6EE270A0">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数据兼容：预留职业健康监护相关数据结构（用人单位、接害因素、监护类别等），后续扩展时可与现有平台数据互通；</w:t>
      </w:r>
    </w:p>
    <w:p w14:paraId="480120E5">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接口预留：预留与四川省职业病防治综合管理信息系统的数据上报接口，后续适配</w:t>
      </w:r>
      <w:r>
        <w:rPr>
          <w:rFonts w:hint="default" w:ascii="仿宋" w:hAnsi="仿宋" w:eastAsia="仿宋" w:cs="仿宋"/>
          <w:b w:val="0"/>
          <w:bCs/>
          <w:sz w:val="28"/>
          <w:szCs w:val="28"/>
          <w:lang w:val="en-US" w:eastAsia="zh-CN"/>
        </w:rPr>
        <w:t>GBZ 188-2025</w:t>
      </w:r>
      <w:r>
        <w:rPr>
          <w:rFonts w:hint="eastAsia" w:ascii="仿宋" w:hAnsi="仿宋" w:eastAsia="仿宋" w:cs="仿宋"/>
          <w:b w:val="0"/>
          <w:bCs/>
          <w:sz w:val="28"/>
          <w:szCs w:val="28"/>
          <w:lang w:val="en-US" w:eastAsia="zh-CN"/>
        </w:rPr>
        <w:t>标准时可直接启用；</w:t>
      </w:r>
    </w:p>
    <w:p w14:paraId="60A04DD5">
      <w:pPr>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标准兼容：系统架构支持后续内置</w:t>
      </w:r>
      <w:r>
        <w:rPr>
          <w:rFonts w:hint="default" w:ascii="仿宋" w:hAnsi="仿宋" w:eastAsia="仿宋" w:cs="仿宋"/>
          <w:b w:val="0"/>
          <w:bCs/>
          <w:sz w:val="28"/>
          <w:szCs w:val="28"/>
          <w:lang w:val="en-US" w:eastAsia="zh-CN"/>
        </w:rPr>
        <w:t>GBZ 188-2025</w:t>
      </w:r>
      <w:r>
        <w:rPr>
          <w:rFonts w:hint="eastAsia" w:ascii="仿宋" w:hAnsi="仿宋" w:eastAsia="仿宋" w:cs="仿宋"/>
          <w:b w:val="0"/>
          <w:bCs/>
          <w:sz w:val="28"/>
          <w:szCs w:val="28"/>
          <w:lang w:val="en-US" w:eastAsia="zh-CN"/>
        </w:rPr>
        <w:t>《职业健康监护技术规范》等业务规则，无需重构核心流程。</w:t>
      </w:r>
    </w:p>
    <w:p w14:paraId="4AAFD943">
      <w:pPr>
        <w:pStyle w:val="2"/>
        <w:rPr>
          <w:rFonts w:hint="eastAsia"/>
          <w:lang w:val="en-US" w:eastAsia="zh-CN"/>
        </w:rPr>
      </w:pPr>
    </w:p>
    <w:p w14:paraId="2AE955D0">
      <w:pPr>
        <w:jc w:val="right"/>
        <w:rPr>
          <w:rFonts w:hint="eastAsia" w:ascii="仿宋" w:hAnsi="仿宋" w:eastAsia="仿宋" w:cs="仿宋"/>
          <w:color w:val="auto"/>
          <w:sz w:val="28"/>
          <w:szCs w:val="28"/>
        </w:rPr>
      </w:pPr>
      <w:r>
        <w:rPr>
          <w:rFonts w:hint="eastAsia" w:ascii="仿宋" w:hAnsi="仿宋" w:eastAsia="仿宋" w:cs="仿宋"/>
          <w:color w:val="auto"/>
          <w:kern w:val="2"/>
          <w:sz w:val="28"/>
          <w:szCs w:val="28"/>
          <w:lang w:val="en-US" w:eastAsia="zh-CN" w:bidi="ar"/>
        </w:rPr>
        <w:t>（具体需求以采购文件为准)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CD6E1A-D467-43B3-85D3-328600703C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Display">
    <w:altName w:val="Segoe UI Variable Display"/>
    <w:panose1 w:val="00000000000000000000"/>
    <w:charset w:val="00"/>
    <w:family w:val="auto"/>
    <w:pitch w:val="default"/>
    <w:sig w:usb0="00000000" w:usb1="00000000" w:usb2="00000000" w:usb3="00000000" w:csb0="00000000" w:csb1="00000000"/>
  </w:font>
  <w:font w:name="Segoe UI Variable Display">
    <w:panose1 w:val="00000000000000000000"/>
    <w:charset w:val="00"/>
    <w:family w:val="auto"/>
    <w:pitch w:val="default"/>
    <w:sig w:usb0="A00002FF" w:usb1="0000000B" w:usb2="00000000" w:usb3="00000000" w:csb0="2000019F" w:csb1="00000000"/>
  </w:font>
  <w:font w:name="等线 Light">
    <w:panose1 w:val="02010600030101010101"/>
    <w:charset w:val="86"/>
    <w:family w:val="auto"/>
    <w:pitch w:val="default"/>
    <w:sig w:usb0="A00002BF" w:usb1="38CF7CFA" w:usb2="00000016" w:usb3="00000000" w:csb0="0004000F"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简体">
    <w:panose1 w:val="02000000000000000000"/>
    <w:charset w:val="86"/>
    <w:family w:val="auto"/>
    <w:pitch w:val="default"/>
    <w:sig w:usb0="A00002BF" w:usb1="184F6CFA" w:usb2="00000012" w:usb3="00000000" w:csb0="00040001" w:csb1="00000000"/>
    <w:embedRegular r:id="rId2" w:fontKey="{65F16262-66AC-477C-B8F4-A393A04E06F9}"/>
  </w:font>
  <w:font w:name="仿宋">
    <w:panose1 w:val="02010609060101010101"/>
    <w:charset w:val="86"/>
    <w:family w:val="auto"/>
    <w:pitch w:val="default"/>
    <w:sig w:usb0="800002BF" w:usb1="38CF7CFA" w:usb2="00000016" w:usb3="00000000" w:csb0="00040001" w:csb1="00000000"/>
    <w:embedRegular r:id="rId3" w:fontKey="{72A16E50-7A1C-4864-8702-7E3E278554A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3ECB1"/>
    <w:multiLevelType w:val="singleLevel"/>
    <w:tmpl w:val="AB43EC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0YTMyMzAwMjUyMmU2YjhmZGFmOWU5NDQ4MDAzNGIifQ=="/>
  </w:docVars>
  <w:rsids>
    <w:rsidRoot w:val="00000000"/>
    <w:rsid w:val="00F52A8D"/>
    <w:rsid w:val="01F96B4D"/>
    <w:rsid w:val="02FA613C"/>
    <w:rsid w:val="04CD5176"/>
    <w:rsid w:val="052D3D60"/>
    <w:rsid w:val="058A40EC"/>
    <w:rsid w:val="087E3811"/>
    <w:rsid w:val="0A0340B8"/>
    <w:rsid w:val="0B697CF2"/>
    <w:rsid w:val="0BDB21D3"/>
    <w:rsid w:val="11C02662"/>
    <w:rsid w:val="126366EB"/>
    <w:rsid w:val="12BE7183"/>
    <w:rsid w:val="140C267A"/>
    <w:rsid w:val="16443E43"/>
    <w:rsid w:val="176660F9"/>
    <w:rsid w:val="18FB41C2"/>
    <w:rsid w:val="19A07745"/>
    <w:rsid w:val="1A976530"/>
    <w:rsid w:val="1D1D0F4A"/>
    <w:rsid w:val="1D4419FE"/>
    <w:rsid w:val="22A820D7"/>
    <w:rsid w:val="23BF6D3F"/>
    <w:rsid w:val="24D41AB4"/>
    <w:rsid w:val="25FF174D"/>
    <w:rsid w:val="271B6D6E"/>
    <w:rsid w:val="294265F3"/>
    <w:rsid w:val="29F969CA"/>
    <w:rsid w:val="2DAE6A51"/>
    <w:rsid w:val="3038636F"/>
    <w:rsid w:val="309D4424"/>
    <w:rsid w:val="31A905B6"/>
    <w:rsid w:val="34B92356"/>
    <w:rsid w:val="36C93FA0"/>
    <w:rsid w:val="38D95044"/>
    <w:rsid w:val="3C2B6D87"/>
    <w:rsid w:val="3C2F1D1B"/>
    <w:rsid w:val="3F283A52"/>
    <w:rsid w:val="40DE68F1"/>
    <w:rsid w:val="45440EBA"/>
    <w:rsid w:val="47B7353C"/>
    <w:rsid w:val="4BF03BAD"/>
    <w:rsid w:val="52CB49C9"/>
    <w:rsid w:val="54980F9C"/>
    <w:rsid w:val="58A3441E"/>
    <w:rsid w:val="59D14FBA"/>
    <w:rsid w:val="5ABD6727"/>
    <w:rsid w:val="5E070FAB"/>
    <w:rsid w:val="5F881C77"/>
    <w:rsid w:val="5FF92B75"/>
    <w:rsid w:val="63A7369C"/>
    <w:rsid w:val="651E61BF"/>
    <w:rsid w:val="656E631D"/>
    <w:rsid w:val="666410BA"/>
    <w:rsid w:val="66754F1F"/>
    <w:rsid w:val="6A742471"/>
    <w:rsid w:val="6B0655A9"/>
    <w:rsid w:val="6C703635"/>
    <w:rsid w:val="6ED36C87"/>
    <w:rsid w:val="6F4F5B18"/>
    <w:rsid w:val="7026309C"/>
    <w:rsid w:val="72A6056A"/>
    <w:rsid w:val="74277859"/>
    <w:rsid w:val="750156D5"/>
    <w:rsid w:val="77863EC4"/>
    <w:rsid w:val="7859045B"/>
    <w:rsid w:val="78BE19CE"/>
    <w:rsid w:val="7D087D3E"/>
    <w:rsid w:val="7E5D4CA3"/>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semiHidden/>
    <w:unhideWhenUsed/>
    <w:qFormat/>
    <w:uiPriority w:val="0"/>
    <w:pPr>
      <w:keepNext/>
      <w:keepLines/>
      <w:widowControl w:val="0"/>
      <w:suppressLineNumbers w:val="0"/>
      <w:spacing w:before="160" w:beforeAutospacing="0" w:after="60" w:afterAutospacing="0"/>
      <w:jc w:val="left"/>
      <w:outlineLvl w:val="3"/>
    </w:pPr>
    <w:rPr>
      <w:rFonts w:hint="default" w:ascii="Aptos Display" w:hAnsi="Aptos Display" w:eastAsia="等线 Light" w:cs="Times New Roman"/>
      <w:b/>
      <w:bCs/>
      <w:color w:val="000000"/>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Compact"/>
    <w:uiPriority w:val="0"/>
    <w:pPr>
      <w:spacing w:before="0" w:beforeAutospacing="0" w:after="0" w:afterAutospacing="0"/>
      <w:jc w:val="left"/>
    </w:pPr>
    <w:rPr>
      <w:rFonts w:hint="default" w:ascii="Aptos" w:hAnsi="Aptos" w:eastAsia="等线" w:cs="Times New Roman"/>
      <w:kern w:val="0"/>
      <w:sz w:val="24"/>
      <w:szCs w:val="24"/>
      <w:lang w:val="en-US" w:eastAsia="zh-CN" w:bidi="ar"/>
    </w:rPr>
  </w:style>
  <w:style w:type="paragraph" w:customStyle="1" w:styleId="8">
    <w:name w:val="First Paragraph"/>
    <w:uiPriority w:val="0"/>
    <w:pPr>
      <w:spacing w:before="0" w:beforeAutospacing="0" w:after="0" w:afterAutospacing="0"/>
      <w:jc w:val="left"/>
    </w:pPr>
    <w:rPr>
      <w:rFonts w:hint="default" w:ascii="Aptos" w:hAnsi="Aptos"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2024</Words>
  <Characters>2065</Characters>
  <Lines>0</Lines>
  <Paragraphs>0</Paragraphs>
  <TotalTime>10</TotalTime>
  <ScaleCrop>false</ScaleCrop>
  <LinksUpToDate>false</LinksUpToDate>
  <CharactersWithSpaces>2075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2025-03-11T02:04:00Z</dcterms:created>
  <dc:creator>lq</dc:creator>
  <cp:lastModifiedBy>林晓娅</cp:lastModifiedBy>
  <dcterms:modified xsi:type="dcterms:W3CDTF">2026-08-07T09:05:58Z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72D6A996B522443099ABBB83B482D80D_13</vt:lpwstr>
  </property>
  <property fmtid="{D5CDD505-2E9C-101B-9397-08002B2CF9AE}" pid="4" name="KSOTemplateDocerSaveRecord">
    <vt:lpwstr>eyJoZGlkIjoiMGM4OTE0MzlhOGZhY2E5OTFkMTgwMmMyMmE0OWE4ODMiLCJ1c2VySWQiOiI1ODUwNjI5NTAifQ==</vt:lpwstr>
  </property>
</Properties>
</file>