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成都市新都区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人民医院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职工中医文化趣味游园活动采购项目调研报价表</w:t>
      </w:r>
    </w:p>
    <w:p>
      <w:pPr>
        <w:rPr>
          <w:rFonts w:hint="eastAsia"/>
        </w:rPr>
      </w:pP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1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职工中医文化趣味游园活动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  <w:bookmarkStart w:id="0" w:name="_GoBack"/>
      <w:bookmarkEnd w:id="0"/>
    </w:p>
    <w:p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8597783"/>
    <w:rsid w:val="09941BAA"/>
    <w:rsid w:val="10E93F61"/>
    <w:rsid w:val="15AA0185"/>
    <w:rsid w:val="1DE3462C"/>
    <w:rsid w:val="24055DE2"/>
    <w:rsid w:val="26F1073A"/>
    <w:rsid w:val="28FA38CA"/>
    <w:rsid w:val="2B424A89"/>
    <w:rsid w:val="30CF6D2D"/>
    <w:rsid w:val="32273A57"/>
    <w:rsid w:val="32696723"/>
    <w:rsid w:val="34490C95"/>
    <w:rsid w:val="3A03209D"/>
    <w:rsid w:val="40150675"/>
    <w:rsid w:val="46C95757"/>
    <w:rsid w:val="47480D01"/>
    <w:rsid w:val="485F62CB"/>
    <w:rsid w:val="4B845D03"/>
    <w:rsid w:val="4BDA1AD9"/>
    <w:rsid w:val="520D572D"/>
    <w:rsid w:val="53A8387F"/>
    <w:rsid w:val="54705C6B"/>
    <w:rsid w:val="5F812661"/>
    <w:rsid w:val="60FF065F"/>
    <w:rsid w:val="67996803"/>
    <w:rsid w:val="69C435D9"/>
    <w:rsid w:val="6B526213"/>
    <w:rsid w:val="6CE62134"/>
    <w:rsid w:val="6DA01667"/>
    <w:rsid w:val="71051205"/>
    <w:rsid w:val="74CD42AD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0</Lines>
  <Paragraphs>0</Paragraphs>
  <TotalTime>1</TotalTime>
  <ScaleCrop>false</ScaleCrop>
  <LinksUpToDate>false</LinksUpToDate>
  <CharactersWithSpaces>262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陈霞</cp:lastModifiedBy>
  <dcterms:modified xsi:type="dcterms:W3CDTF">2025-12-16T03:21:21Z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D93D2A86F03D45EBBB9E04632054DE73_13</vt:lpwstr>
  </property>
  <property fmtid="{D5CDD505-2E9C-101B-9397-08002B2CF9AE}" pid="4" name="KSOTemplateDocerSaveRecord">
    <vt:lpwstr>eyJoZGlkIjoiNDc5YzMzNTZkMTlhMzkxM2JhYjc2YmM1ZGE0ODhlNjEiLCJ1c2VySWQiOiIyMzkzODc2MzcifQ==</vt:lpwstr>
  </property>
</Properties>
</file>