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5EB87">
      <w:pPr>
        <w:widowControl w:val="0"/>
        <w:adjustRightInd/>
        <w:snapToGrid/>
        <w:spacing w:after="0" w:line="240" w:lineRule="auto"/>
        <w:jc w:val="center"/>
        <w:rPr>
          <w:rFonts w:hint="eastAsia" w:ascii="楷体" w:hAnsi="楷体" w:eastAsia="楷体" w:cs="楷体"/>
          <w:b/>
          <w:bCs/>
          <w:kern w:val="2"/>
          <w:sz w:val="44"/>
          <w:szCs w:val="44"/>
          <w:highlight w:val="none"/>
          <w:lang w:val="en-US" w:eastAsia="zh-CN"/>
        </w:rPr>
      </w:pPr>
      <w:r>
        <w:rPr>
          <w:rFonts w:hint="eastAsia" w:ascii="楷体" w:hAnsi="楷体" w:eastAsia="楷体" w:cs="楷体"/>
          <w:b/>
          <w:bCs/>
          <w:kern w:val="2"/>
          <w:sz w:val="44"/>
          <w:szCs w:val="44"/>
          <w:highlight w:val="none"/>
          <w:lang w:val="en-US" w:eastAsia="zh-CN"/>
        </w:rPr>
        <w:t>成都市新都区第三人民医院</w:t>
      </w:r>
    </w:p>
    <w:p w14:paraId="0E4989D8">
      <w:pPr>
        <w:widowControl w:val="0"/>
        <w:adjustRightInd/>
        <w:snapToGrid/>
        <w:spacing w:after="0" w:line="240" w:lineRule="auto"/>
        <w:jc w:val="center"/>
        <w:rPr>
          <w:rFonts w:hint="eastAsia" w:ascii="楷体" w:hAnsi="楷体" w:eastAsia="楷体" w:cs="楷体"/>
          <w:b/>
          <w:bCs/>
          <w:kern w:val="2"/>
          <w:sz w:val="44"/>
          <w:szCs w:val="44"/>
          <w:highlight w:val="none"/>
          <w:lang w:val="en-US" w:eastAsia="zh-CN"/>
        </w:rPr>
      </w:pPr>
      <w:r>
        <w:rPr>
          <w:rFonts w:hint="eastAsia" w:ascii="楷体" w:hAnsi="楷体" w:eastAsia="楷体" w:cs="楷体"/>
          <w:b/>
          <w:bCs/>
          <w:kern w:val="2"/>
          <w:sz w:val="44"/>
          <w:szCs w:val="44"/>
          <w:highlight w:val="none"/>
          <w:lang w:val="en-US" w:eastAsia="zh-CN"/>
        </w:rPr>
        <w:t>变配电设备维保及水电运维服务</w:t>
      </w:r>
    </w:p>
    <w:p w14:paraId="31C03279">
      <w:pPr>
        <w:widowControl w:val="0"/>
        <w:adjustRightInd/>
        <w:snapToGrid/>
        <w:spacing w:after="0" w:line="240" w:lineRule="auto"/>
        <w:jc w:val="center"/>
        <w:rPr>
          <w:rFonts w:hint="eastAsia" w:ascii="楷体" w:hAnsi="楷体" w:eastAsia="楷体" w:cs="楷体"/>
          <w:b/>
          <w:bCs/>
          <w:kern w:val="2"/>
          <w:sz w:val="44"/>
          <w:szCs w:val="44"/>
          <w:highlight w:val="none"/>
          <w:lang w:val="en-US" w:eastAsia="zh-CN"/>
        </w:rPr>
      </w:pPr>
      <w:r>
        <w:rPr>
          <w:rFonts w:hint="eastAsia" w:ascii="楷体" w:hAnsi="楷体" w:eastAsia="楷体" w:cs="楷体"/>
          <w:b/>
          <w:bCs/>
          <w:kern w:val="2"/>
          <w:sz w:val="44"/>
          <w:szCs w:val="44"/>
          <w:highlight w:val="none"/>
          <w:lang w:val="en-US" w:eastAsia="zh-CN"/>
        </w:rPr>
        <w:t>采购项目调研需求</w:t>
      </w:r>
    </w:p>
    <w:p w14:paraId="55C9FD6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1"/>
        <w:rPr>
          <w:rFonts w:hint="eastAsia" w:ascii="仿宋" w:hAnsi="仿宋" w:eastAsia="仿宋" w:cs="仿宋"/>
          <w:b w:val="0"/>
          <w:bCs/>
          <w:color w:val="000000"/>
          <w:sz w:val="24"/>
          <w:szCs w:val="24"/>
          <w:highlight w:val="none"/>
        </w:rPr>
      </w:pPr>
    </w:p>
    <w:p w14:paraId="4C651A8D">
      <w:pPr>
        <w:pageBreakBefore w:val="0"/>
        <w:kinsoku/>
        <w:overflowPunct/>
        <w:autoSpaceDE/>
        <w:autoSpaceDN/>
        <w:bidi w:val="0"/>
        <w:spacing w:after="0" w:afterAutospacing="0" w:line="360" w:lineRule="auto"/>
        <w:ind w:firstLine="482" w:firstLineChars="200"/>
        <w:jc w:val="left"/>
        <w:outlineLvl w:val="1"/>
        <w:rPr>
          <w:rFonts w:hint="eastAsia" w:ascii="仿宋" w:hAnsi="仿宋" w:eastAsia="仿宋" w:cs="仿宋"/>
          <w:color w:val="000000"/>
          <w:sz w:val="24"/>
          <w:szCs w:val="24"/>
        </w:rPr>
      </w:pPr>
      <w:r>
        <w:rPr>
          <w:rFonts w:hint="eastAsia" w:ascii="仿宋" w:hAnsi="仿宋" w:eastAsia="仿宋" w:cs="仿宋"/>
          <w:b/>
          <w:bCs/>
          <w:color w:val="000000"/>
          <w:sz w:val="24"/>
          <w:szCs w:val="24"/>
          <w:lang w:eastAsia="zh-CN"/>
        </w:rPr>
        <w:t>一、</w:t>
      </w:r>
      <w:r>
        <w:rPr>
          <w:rFonts w:hint="eastAsia" w:ascii="仿宋" w:hAnsi="仿宋" w:eastAsia="仿宋" w:cs="仿宋"/>
          <w:b/>
          <w:bCs/>
          <w:color w:val="000000"/>
          <w:sz w:val="24"/>
          <w:szCs w:val="24"/>
        </w:rPr>
        <w:t>项目基本情况</w:t>
      </w:r>
    </w:p>
    <w:p w14:paraId="024BD60A">
      <w:pPr>
        <w:pStyle w:val="9"/>
        <w:keepNext w:val="0"/>
        <w:keepLines w:val="0"/>
        <w:pageBreakBefore w:val="0"/>
        <w:widowControl/>
        <w:kinsoku/>
        <w:wordWrap/>
        <w:overflowPunct/>
        <w:topLinePunct w:val="0"/>
        <w:autoSpaceDE/>
        <w:autoSpaceDN/>
        <w:bidi w:val="0"/>
        <w:adjustRightInd/>
        <w:snapToGrid/>
        <w:spacing w:beforeAutospacing="0" w:line="360" w:lineRule="auto"/>
        <w:ind w:firstLine="482"/>
        <w:jc w:val="left"/>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本项目为医院变配电设备维保及水电运维服务，核心是保障电力、给排水、照明等基础设施24小时安全运行（正常运行率≥98%）。服务含24小时值班、</w:t>
      </w:r>
      <w:bookmarkStart w:id="1" w:name="_GoBack"/>
      <w:bookmarkEnd w:id="1"/>
      <w:r>
        <w:rPr>
          <w:rFonts w:hint="eastAsia" w:ascii="仿宋" w:hAnsi="仿宋" w:eastAsia="仿宋" w:cs="仿宋"/>
          <w:color w:val="000000"/>
          <w:sz w:val="24"/>
          <w:szCs w:val="24"/>
          <w:lang w:val="en-US" w:eastAsia="zh-CN" w:bidi="ar-SA"/>
        </w:rPr>
        <w:t>设备维保、定期巡检检测，配备持证驻场人员，快速响应故障维修，合规履约并按月汇报，全力支撑医疗工作。</w:t>
      </w:r>
    </w:p>
    <w:p w14:paraId="35A26335">
      <w:pPr>
        <w:keepNext w:val="0"/>
        <w:keepLines w:val="0"/>
        <w:pageBreakBefore w:val="0"/>
        <w:widowControl/>
        <w:numPr>
          <w:ilvl w:val="0"/>
          <w:numId w:val="0"/>
        </w:numPr>
        <w:kinsoku/>
        <w:wordWrap/>
        <w:overflowPunct/>
        <w:topLinePunct w:val="0"/>
        <w:autoSpaceDE/>
        <w:autoSpaceDN/>
        <w:bidi w:val="0"/>
        <w:spacing w:after="0" w:line="360" w:lineRule="auto"/>
        <w:ind w:left="440" w:leftChars="0"/>
        <w:textAlignment w:val="auto"/>
        <w:rPr>
          <w:rFonts w:hint="default" w:ascii="仿宋" w:hAnsi="仿宋" w:eastAsia="仿宋" w:cs="仿宋"/>
          <w:b/>
          <w:bCs/>
          <w:color w:val="000000"/>
          <w:sz w:val="24"/>
          <w:szCs w:val="24"/>
          <w:lang w:val="en-US" w:eastAsia="zh-CN"/>
        </w:rPr>
      </w:pPr>
      <w:r>
        <w:rPr>
          <w:rFonts w:hint="eastAsia" w:ascii="仿宋" w:hAnsi="仿宋" w:eastAsia="仿宋" w:cs="仿宋"/>
          <w:b/>
          <w:bCs w:val="0"/>
          <w:color w:val="000000"/>
          <w:sz w:val="24"/>
          <w:szCs w:val="24"/>
          <w:highlight w:val="none"/>
          <w:lang w:val="en-US" w:eastAsia="zh-CN"/>
        </w:rPr>
        <w:t>二、</w:t>
      </w:r>
      <w:r>
        <w:rPr>
          <w:rFonts w:hint="eastAsia" w:ascii="仿宋" w:hAnsi="仿宋" w:eastAsia="仿宋" w:cs="仿宋"/>
          <w:b/>
          <w:bCs/>
          <w:color w:val="000000"/>
          <w:sz w:val="24"/>
          <w:szCs w:val="24"/>
          <w:lang w:val="en-US" w:eastAsia="zh-CN"/>
        </w:rPr>
        <w:t>服务</w:t>
      </w:r>
      <w:bookmarkStart w:id="0" w:name="_Toc26384"/>
      <w:r>
        <w:rPr>
          <w:rFonts w:hint="eastAsia" w:ascii="仿宋" w:hAnsi="仿宋" w:eastAsia="仿宋" w:cs="仿宋"/>
          <w:b/>
          <w:bCs/>
          <w:color w:val="000000"/>
          <w:sz w:val="24"/>
          <w:szCs w:val="24"/>
          <w:lang w:eastAsia="zh-CN"/>
        </w:rPr>
        <w:t>内容</w:t>
      </w:r>
      <w:r>
        <w:rPr>
          <w:rFonts w:hint="eastAsia" w:ascii="仿宋" w:hAnsi="仿宋" w:eastAsia="仿宋" w:cs="仿宋"/>
          <w:b/>
          <w:bCs/>
          <w:color w:val="000000"/>
          <w:sz w:val="24"/>
          <w:szCs w:val="24"/>
          <w:lang w:val="en-US" w:eastAsia="zh-CN"/>
        </w:rPr>
        <w:t>及要求</w:t>
      </w:r>
    </w:p>
    <w:bookmarkEnd w:id="0"/>
    <w:p w14:paraId="2F9647B6">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（一）服务内容</w:t>
      </w:r>
    </w:p>
    <w:p w14:paraId="59848101">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1.供应商需安排高压和低压配电室的电工值班（24小时）；</w:t>
      </w:r>
    </w:p>
    <w:p w14:paraId="2E35C931">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w:t>
      </w:r>
      <w:r>
        <w:rPr>
          <w:rFonts w:hint="eastAsia" w:ascii="仿宋" w:hAnsi="仿宋" w:eastAsia="仿宋" w:cs="仿宋"/>
          <w:color w:val="000000"/>
          <w:sz w:val="24"/>
          <w:szCs w:val="24"/>
          <w:highlight w:val="none"/>
          <w:lang w:val="en-US" w:eastAsia="zh-CN" w:bidi="ar-SA"/>
        </w:rPr>
        <w:t>供应商需负责对医院所有配电箱、柜的维护、保养，范围包括干式变压器</w:t>
      </w:r>
      <w:r>
        <w:rPr>
          <w:rFonts w:hint="eastAsia" w:ascii="仿宋" w:hAnsi="仿宋" w:eastAsia="仿宋" w:cs="仿宋"/>
          <w:color w:val="000000"/>
          <w:sz w:val="24"/>
          <w:szCs w:val="24"/>
          <w:highlight w:val="none"/>
          <w:lang w:val="en-US" w:eastAsia="zh-CN" w:bidi="ar-SA"/>
        </w:rPr>
        <w:t>4</w:t>
      </w:r>
      <w:r>
        <w:rPr>
          <w:rFonts w:hint="eastAsia" w:ascii="仿宋" w:hAnsi="仿宋" w:eastAsia="仿宋" w:cs="仿宋"/>
          <w:color w:val="000000"/>
          <w:sz w:val="24"/>
          <w:szCs w:val="24"/>
          <w:highlight w:val="none"/>
          <w:lang w:val="en-US" w:eastAsia="zh-CN" w:bidi="ar-SA"/>
        </w:rPr>
        <w:t>台；高压开关柜11台；低压开关柜22台；直流屏1套；柴油发电机组1套；柴油发电机应急柜3台；电力监控系统1套；电缆1批；（</w:t>
      </w:r>
      <w:r>
        <w:rPr>
          <w:rFonts w:hint="eastAsia" w:ascii="仿宋" w:hAnsi="仿宋" w:eastAsia="仿宋" w:cs="仿宋"/>
          <w:color w:val="000000"/>
          <w:sz w:val="24"/>
          <w:szCs w:val="24"/>
          <w:highlight w:val="none"/>
          <w:lang w:val="en-US" w:eastAsia="zh-CN" w:bidi="ar-SA"/>
        </w:rPr>
        <w:t>更</w:t>
      </w:r>
      <w:r>
        <w:rPr>
          <w:rFonts w:hint="eastAsia" w:ascii="仿宋" w:hAnsi="仿宋" w:eastAsia="仿宋" w:cs="仿宋"/>
          <w:color w:val="000000"/>
          <w:sz w:val="24"/>
          <w:szCs w:val="24"/>
          <w:highlight w:val="none"/>
          <w:lang w:val="en-US" w:eastAsia="zh-CN" w:bidi="ar-SA"/>
        </w:rPr>
        <w:t>换材料由医院负责提供）</w:t>
      </w:r>
    </w:p>
    <w:p w14:paraId="6291DF38">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3.供应商需负责对医院的照明系统进行定期维护、保养；（更换材料由医院负责提供）</w:t>
      </w:r>
    </w:p>
    <w:p w14:paraId="34837CE1">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4.供应商需负责对医院以及附属设施的用水控制系统、管网、用水设施进行定期维护、保养；（更换材料由医院负责提供）</w:t>
      </w:r>
    </w:p>
    <w:p w14:paraId="39045D7D">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5.供应商需负责完成医院交办的其他临时维修工作。</w:t>
      </w:r>
    </w:p>
    <w:p w14:paraId="3A9639E9">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outlineLvl w:val="0"/>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（二）服务要求</w:t>
      </w:r>
    </w:p>
    <w:p w14:paraId="5EA6D54E">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1.供应商需负责每年定期对高、低压设备（户外分界开关、高压避雷器、高压刀闸、高压电缆、变压器、高压配电柜、低压配电柜等）进行一次年检预试、螺栓紧固、清扫除尘；需提供年检预试检测报告。</w:t>
      </w:r>
    </w:p>
    <w:p w14:paraId="65FA558F">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2.供应商需负责每月定期对从电源搭接点开始的杆塔上各类电力设施进行月度例行巡视检查。</w:t>
      </w:r>
    </w:p>
    <w:p w14:paraId="6A54E49E">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供应商需负责每月定期对高压进线电缆、电缆沟、低压出线电缆管廊等进行月度例行检查。检查高压电缆外观绝缘情况，检查电缆保护管封堵胶泥密封情况，检查电缆沟密封网完好情况，检查电缆沟内是否有积水或其他影响电缆安全运行的杂物，检查电缆沟内是否有小动物活动痕迹，检查电缆沟盖板完好情况，是否有覆盖沟盖板情况发生，检查电缆沟附近是否有作业行为，防止外力破坏损伤电缆。暑天、汛期、雪天等恶劣天气增加巡视次数，并两人进行巡视，如有恶劣天气预警应提前进行巡视，做好提前防范，并登记巡视记录，如有无法及时处理事项，应及时向采购人汇报。（填写：线路设备月巡视检查记录、照片存档、线路设备缺陷隐患登记表）。</w:t>
      </w:r>
    </w:p>
    <w:p w14:paraId="2BB3EAA4">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供应商需负责每月定期对变压器、高压配电柜、所有低压配电柜、进行月度例行巡视检查。对各连接点位进行测温及时分析温度周期变化曲线，在夏季高温天气、冬季严寒天气和其他高负荷运行期间要相应增加测温频率。检查配电柜电缆孔胶泥封堵情况、潮湿情况、是否存在凝露情况、各元器件是否有放弧或烧蚀痕迹、各仪表是否正常显示、各回路开关动作情况是否正常等。对每台开关进行电流测试，分析每台开关是否超重载运行、是否存在三相不平衡运行。对存在不平衡运行情况及时进行负荷调整。检查分支箱、配电箱上锁情况，检查分支箱、配电箱运行情况，检查分支箱、配电箱内是否存在私拉乱接情况，对私拉乱接现象进行及时整改，配电箱是否采用不燃材料制作，箱内线路是否凌乱，标识是否清晰；线路与插座、开关连接处是否松动，插头与插套接触处是否松动，配电箱周围1.2m范围内是否违规堆放可燃物或杂物，配电箱是否存在渗水、水等易引发短路风险的场所，配电箱接地装置是否完好，仪表是否正常（填写：线路设备月度巡视检查记录、线路设备缺陷隐患登记表、维护管理记录，高压、低压设备运行记录、照片存档）。</w:t>
      </w:r>
    </w:p>
    <w:p w14:paraId="285D4522">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5.供应商需负责每月定期对柴油发电机组、发电机应急柜进行月度例行检查。检查柴油发电机组油、水存储情况，检查柴油发电机组机油使用情况，定期更换机油，检查柴油发电机电池组存电情况，定期进行充电，检查发电机应急柜各仪器仪表是否运行正常，备用电源自投装置是否运行正常。定期发动发电机组，确保在发生故障或计划检修停电时，发电机组能迅速有效地投入运行（填写：设备月度巡视检查记录、照片存档、开关月度负荷测试记录、设备缺陷隐患登记表）。</w:t>
      </w:r>
    </w:p>
    <w:p w14:paraId="6F432AD0">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6.供应商需负责每年分两次（丰水期、枯水期）对电力设备接地网进行接地电阻测试（填写：接地电阻测试记录）。</w:t>
      </w:r>
    </w:p>
    <w:p w14:paraId="742A83E5">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7.供应商需负责规范安全工器具等的管理，根据每件安全工器具的校验周期，建立相关台账，定期送检。</w:t>
      </w:r>
    </w:p>
    <w:p w14:paraId="12B5C747">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8.供应商需负责医院水电设施设备（设施设备情况由供应商自行进行现场踏勘）的日常维护管理，正常运行率在98%以上，包括但不限于电气线路是否存在老化、绝缘层破损、线路是否存在受潮、水浸，电气线路、电源插座、开关是否安装敷设在易燃可燃材料上，地面插座是否与地面平齐或紧贴地面，盖板是否松动、密封性能不良，是否违规使用不符合新国标的移动插座，照明灯具导线是否直接裸露敷设、是否存在私拉乱接电源情况等。建立完整的公用设施、设备台账，确保设施设备的运行、检查、维修、保养等记录齐全。对公用设施、设备每天巡查1次，做好巡查记录，需要维修时按照轻、重、缓、急分析、归类、立即处理，属于大修的30分钟报告采购人后勤保障科专管员，编制维修、改造计划并提出报告与建议，根据采购人的决定，组织维修或者更新改造。</w:t>
      </w:r>
    </w:p>
    <w:p w14:paraId="4D5C1A42">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9.给排水设备（含管网）的维护保养要求：</w:t>
      </w:r>
    </w:p>
    <w:p w14:paraId="1F163BB3">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（1）给排水系统的维修保养每月进行一次，并做好记录：</w:t>
      </w:r>
    </w:p>
    <w:p w14:paraId="2547F61A">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①检查及监测给水泵、饮用水泵、排水泵、污水泵及排污设施运行状况；</w:t>
      </w:r>
    </w:p>
    <w:p w14:paraId="56800038">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②检查、监测和清洁所有的垂直的栅栏、地漏、排水道、下水道出入口状况；</w:t>
      </w:r>
    </w:p>
    <w:p w14:paraId="5581305F">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③检查水泵运转是否正常；</w:t>
      </w:r>
    </w:p>
    <w:p w14:paraId="577F497B">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④检查水泵中的机械封口连接处是否漏水、法兰盘是否松动；</w:t>
      </w:r>
    </w:p>
    <w:p w14:paraId="3C48FE3F">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⑤清除轴承上的油污；</w:t>
      </w:r>
    </w:p>
    <w:p w14:paraId="04B86C22">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⑥检查和调整水泵之轴承位置平衡；</w:t>
      </w:r>
    </w:p>
    <w:p w14:paraId="378CB219">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⑦检查电力装配、水泵吸力和出水压力；</w:t>
      </w:r>
    </w:p>
    <w:p w14:paraId="7BC2E188">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⑧检查厕所、盥洗室有无漏水现象。</w:t>
      </w:r>
    </w:p>
    <w:p w14:paraId="080DA5BC">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（2）每季度进行一次的工作内容并做好记录：</w:t>
      </w:r>
    </w:p>
    <w:p w14:paraId="14F6BA83">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①保持阀门和水泵配件良好状态并为阀门的主轴进行清洁和加油润滑；</w:t>
      </w:r>
    </w:p>
    <w:p w14:paraId="6F1DEDBB">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②为球形阀门的活动部件进行润滑；</w:t>
      </w:r>
    </w:p>
    <w:p w14:paraId="2320C559">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③检查水位开关、水压开关和浮力开关，包括开流及断流测试；</w:t>
      </w:r>
    </w:p>
    <w:p w14:paraId="1C9BEA5B">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④清洁所有水箱包括污水池和供水箱。</w:t>
      </w:r>
    </w:p>
    <w:p w14:paraId="34D9F36C">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（3）每年进行一次的工作内容并做好记录：</w:t>
      </w:r>
    </w:p>
    <w:p w14:paraId="1F0370EA">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①全面地检查所有水管设备，包括所有的水管、控制器和线路；</w:t>
      </w:r>
    </w:p>
    <w:p w14:paraId="3E12A27F">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②全面地检查和清洁在建筑物范围内的所有排水沟的出入口；</w:t>
      </w:r>
    </w:p>
    <w:p w14:paraId="3DD7AB04">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③检查供水管设备和排水管及连接部件；</w:t>
      </w:r>
    </w:p>
    <w:p w14:paraId="178F952C">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④在公用地区检查和测试所有排污设施的功能。</w:t>
      </w:r>
    </w:p>
    <w:p w14:paraId="299ECACD">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10.供应商需负责院区内的所有照明设施（包括但不限于室内照明、公区照明、景观照明、应急照明等）每日进行巡视，一般故障1小时内修复；其他复杂故障1日内修复，每晚对全院人走断电及24小时用电区域进行巡视并做好每日巡视记录。</w:t>
      </w:r>
    </w:p>
    <w:p w14:paraId="28F07344">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11.供应商需24小时负责房屋及附属、水电设施的巡检、维修及维护工作；负责全院水电等小型（建筑面积不足100m²的水电安装）安装维修；具体工作包括但不限于以下内容：灯具、电开关、插座、用电线路、空调移机等维修更换、小型安装工作；给排水系统上下水管、龙头、阀门等维修、更换，必须严格按照操作规程使用移动式电气设备和手持电动工具。使用过程中需要移动电气器具或停止工作、人员离去或突然停电时，必须断开电源开关或拔掉电源插头。</w:t>
      </w:r>
    </w:p>
    <w:p w14:paraId="2478CCCC">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12.随时迎接上级各部门的督导检查，对督导的要求进行及时整改。</w:t>
      </w:r>
    </w:p>
    <w:p w14:paraId="3A020EF4">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13.水电维修人员安排：派驻至少3名人员（1名高压电工、1名低压电工、1名综合维修人员）在医院轮流上班，合理排班，做到周一到周五白班间（上午8:00-12:00、下午14:30-17:30）至少2人同时在岗，其他时段为值班时间，值班时间至少1人，人员要求必须在位在岗，严格执行交接班制度，做好交接班登记，未办完交接手续前，不得擅离岗位，若擅离岗位无人值守，发现一次扣除当月水电运维费用，因擅离岗位出现的相关问题由采购人承担；处理问题及时，不能处理及时上报，应有记录。电工要求持有相应的高压或低压电工作业证。</w:t>
      </w:r>
    </w:p>
    <w:p w14:paraId="0C9FFFBA">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14.设立24小时维保值班电话，供应商提供全天候（含节假日）应急维修及故障修理，一般急修10分钟内到达现场处理，紧急抢修故障5分钟内到达现场处理，遇到突发事件全部驻场的专业技术维保人员必须到场。对于现场不能及时处理的，供应商须另派有经验的人员前往处理。</w:t>
      </w:r>
    </w:p>
    <w:p w14:paraId="2E6B161F">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15.供应商配备的高、低压电工年龄需未达到国家法定退休年龄，无违法违纪记录，熟悉配电系统运行管理，并能熟练其操作，能处理日常突发故障，保障设备正常安全运行，配合采购人完成各类应急流程处理，每年完成一次倒闸合闸应急演练及一次停电应急演练，特殊情况增加演练频次。在采购人需要水电维修人员帮忙处理其他事件时应尽力协助。供应商配备的综合维修人员年龄需未达到国家法定退休年龄，无违法违纪记录，能胜任水电、简易装饰装修类维修、负责配电系统、给排水设备等日常综合维修，同时及时发现隐患并处置、熟悉综合维修类技能。</w:t>
      </w:r>
    </w:p>
    <w:p w14:paraId="2D320661">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16.供应商项目团队人员（项目负责人及驻场人员）应保持稳定。若需进行人员调整，在调整前必须向采购人提交书面申请，经同意后再进行调整。</w:t>
      </w:r>
    </w:p>
    <w:p w14:paraId="71D7F643">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17.供应商所派工作人员上岗时，必须着装统一、整洁。做到不迟到，不早退，不消极怠工。</w:t>
      </w:r>
    </w:p>
    <w:p w14:paraId="6DF17274">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18.供应商所派工作人员上岗前须进行岗前培训，培训合格后方可上岗。</w:t>
      </w:r>
    </w:p>
    <w:p w14:paraId="5D8E72D4">
      <w:pPr>
        <w:pStyle w:val="2"/>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19.供应商所派工作人员工作时间保持通讯畅通。</w:t>
      </w:r>
    </w:p>
    <w:p w14:paraId="42977641">
      <w:pPr>
        <w:pStyle w:val="2"/>
        <w:keepNext w:val="0"/>
        <w:keepLines w:val="0"/>
        <w:pageBreakBefore w:val="0"/>
        <w:widowControl/>
        <w:kinsoku w:val="0"/>
        <w:wordWrap/>
        <w:overflowPunct/>
        <w:topLinePunct w:val="0"/>
        <w:autoSpaceDE w:val="0"/>
        <w:autoSpaceDN w:val="0"/>
        <w:bidi w:val="0"/>
        <w:adjustRightInd w:val="0"/>
        <w:snapToGrid w:val="0"/>
        <w:spacing w:after="0" w:afterAutospacing="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20.维修及检修工作应严格按照《中华人民共和国电力法》《电力设施保护条例》《四川省电力设施保护和供用电秩序维护条例》等相关法律法规要求以及采购人安全生产管理的各种制度规定执行，防止操作过程中的事故发生。本项目履约期间所发生的一切事故，其赔偿责任及所产生人员、财产安全损失均由供应商全部承担。</w:t>
      </w:r>
    </w:p>
    <w:p w14:paraId="3678213E">
      <w:pPr>
        <w:pStyle w:val="2"/>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21.维修材料等由采购人负责提供，供应商合理制定配件备用需求，向采购人提出计划，每月与采购人对用量进行核对交接，如有遗失由供应商负责赔偿。</w:t>
      </w:r>
    </w:p>
    <w:p w14:paraId="5D5D4619">
      <w:pPr>
        <w:pStyle w:val="2"/>
        <w:keepNext w:val="0"/>
        <w:keepLines w:val="0"/>
        <w:pageBreakBefore w:val="0"/>
        <w:widowControl/>
        <w:kinsoku w:val="0"/>
        <w:wordWrap/>
        <w:overflowPunct/>
        <w:topLinePunct w:val="0"/>
        <w:autoSpaceDE w:val="0"/>
        <w:autoSpaceDN w:val="0"/>
        <w:bidi w:val="0"/>
        <w:adjustRightInd w:val="0"/>
        <w:snapToGrid w:val="0"/>
        <w:spacing w:beforeAutospacing="0" w:after="0" w:line="360" w:lineRule="auto"/>
        <w:ind w:left="0" w:right="0" w:firstLine="480" w:firstLineChars="200"/>
        <w:textAlignment w:val="baseline"/>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22.供应商每月向采购人进行书面形式工作汇报，汇报内容包括但不限于维修情况、效率提升、改进建议等。</w:t>
      </w:r>
    </w:p>
    <w:p w14:paraId="5A81637B">
      <w:pPr>
        <w:pStyle w:val="6"/>
        <w:rPr>
          <w:rFonts w:hint="eastAsia"/>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5264E82"/>
    <w:rsid w:val="054369B0"/>
    <w:rsid w:val="073E552A"/>
    <w:rsid w:val="07B92A66"/>
    <w:rsid w:val="09BC05EC"/>
    <w:rsid w:val="0A0F0519"/>
    <w:rsid w:val="0BCA3494"/>
    <w:rsid w:val="0CE12BAF"/>
    <w:rsid w:val="0D58687D"/>
    <w:rsid w:val="113F111A"/>
    <w:rsid w:val="12D2365C"/>
    <w:rsid w:val="14067033"/>
    <w:rsid w:val="18221F62"/>
    <w:rsid w:val="1E333B0E"/>
    <w:rsid w:val="20B53BAA"/>
    <w:rsid w:val="214C13B9"/>
    <w:rsid w:val="23283B3B"/>
    <w:rsid w:val="2447702E"/>
    <w:rsid w:val="2512688E"/>
    <w:rsid w:val="28341F69"/>
    <w:rsid w:val="2B782C57"/>
    <w:rsid w:val="2B9601FE"/>
    <w:rsid w:val="2C1520B2"/>
    <w:rsid w:val="2C78619D"/>
    <w:rsid w:val="351C1540"/>
    <w:rsid w:val="39C9665C"/>
    <w:rsid w:val="39E921A3"/>
    <w:rsid w:val="401E7FC0"/>
    <w:rsid w:val="421952FE"/>
    <w:rsid w:val="435B2648"/>
    <w:rsid w:val="436D5ED7"/>
    <w:rsid w:val="437D4061"/>
    <w:rsid w:val="43AD7C3E"/>
    <w:rsid w:val="4670174F"/>
    <w:rsid w:val="48C276DD"/>
    <w:rsid w:val="4B4F7B69"/>
    <w:rsid w:val="4CF179E8"/>
    <w:rsid w:val="5184720E"/>
    <w:rsid w:val="520A028E"/>
    <w:rsid w:val="536F17F8"/>
    <w:rsid w:val="54366F58"/>
    <w:rsid w:val="55BC7137"/>
    <w:rsid w:val="574014E1"/>
    <w:rsid w:val="581D1028"/>
    <w:rsid w:val="5A3115B5"/>
    <w:rsid w:val="5C8A5FF6"/>
    <w:rsid w:val="5E88352B"/>
    <w:rsid w:val="5EEC6F62"/>
    <w:rsid w:val="62545805"/>
    <w:rsid w:val="62FB5E5D"/>
    <w:rsid w:val="641871FF"/>
    <w:rsid w:val="69E237A0"/>
    <w:rsid w:val="6A002509"/>
    <w:rsid w:val="6CA87DFD"/>
    <w:rsid w:val="6E090DC3"/>
    <w:rsid w:val="6EAE7221"/>
    <w:rsid w:val="71744751"/>
    <w:rsid w:val="71E54316"/>
    <w:rsid w:val="73353292"/>
    <w:rsid w:val="73972979"/>
    <w:rsid w:val="753F0BD2"/>
    <w:rsid w:val="7934198E"/>
    <w:rsid w:val="7C8141C6"/>
    <w:rsid w:val="7E1F3C97"/>
    <w:rsid w:val="7EA82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宋体"/>
      <w:sz w:val="18"/>
    </w:rPr>
  </w:style>
  <w:style w:type="paragraph" w:styleId="3">
    <w:name w:val="Body Text First Indent"/>
    <w:basedOn w:val="2"/>
    <w:qFormat/>
    <w:uiPriority w:val="0"/>
    <w:pPr>
      <w:spacing w:before="60"/>
      <w:ind w:firstLine="420" w:firstLineChars="100"/>
      <w:jc w:val="left"/>
    </w:pPr>
    <w:rPr>
      <w:rFonts w:ascii="宋体" w:eastAsia="Times New Roman"/>
      <w:b/>
      <w:sz w:val="24"/>
    </w:rPr>
  </w:style>
  <w:style w:type="paragraph" w:customStyle="1" w:styleId="6">
    <w:name w:val="表格文字"/>
    <w:qFormat/>
    <w:uiPriority w:val="0"/>
    <w:pPr>
      <w:widowControl w:val="0"/>
      <w:suppressAutoHyphens/>
      <w:spacing w:before="25" w:after="25"/>
    </w:pPr>
    <w:rPr>
      <w:rFonts w:ascii="Calibri" w:hAnsi="Calibri" w:eastAsia="宋体" w:cs="Times New Roman"/>
      <w:bCs/>
      <w:spacing w:val="10"/>
      <w:sz w:val="24"/>
      <w:szCs w:val="24"/>
      <w:lang w:val="en-US" w:eastAsia="zh-CN" w:bidi="ar-SA"/>
    </w:rPr>
  </w:style>
  <w:style w:type="paragraph" w:customStyle="1" w:styleId="7">
    <w:name w:val="Body text|1"/>
    <w:basedOn w:val="1"/>
    <w:qFormat/>
    <w:uiPriority w:val="0"/>
    <w:pPr>
      <w:spacing w:line="406" w:lineRule="auto"/>
      <w:ind w:firstLine="400"/>
    </w:pPr>
    <w:rPr>
      <w:rFonts w:ascii="宋体" w:hAnsi="宋体" w:cs="宋体"/>
      <w:lang w:val="zh-TW" w:eastAsia="zh-TW" w:bidi="zh-TW"/>
    </w:rPr>
  </w:style>
  <w:style w:type="paragraph" w:customStyle="1" w:styleId="8">
    <w:name w:val="Table Paragraph"/>
    <w:basedOn w:val="1"/>
    <w:qFormat/>
    <w:uiPriority w:val="1"/>
    <w:rPr>
      <w:rFonts w:ascii="宋体" w:hAnsi="宋体" w:cs="宋体"/>
      <w:lang w:val="zh-CN" w:bidi="zh-CN"/>
    </w:rPr>
  </w:style>
  <w:style w:type="paragraph" w:customStyle="1" w:styleId="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3745</Words>
  <Characters>3825</Characters>
  <Lines>1</Lines>
  <Paragraphs>1</Paragraphs>
  <TotalTime>867</TotalTime>
  <ScaleCrop>false</ScaleCrop>
  <LinksUpToDate>false</LinksUpToDate>
  <CharactersWithSpaces>3825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cynthia</cp:lastModifiedBy>
  <dcterms:modified xsi:type="dcterms:W3CDTF">2025-12-03T06:46:09Z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BE38B79098154D4897407E3581078F30</vt:lpwstr>
  </property>
  <property fmtid="{D5CDD505-2E9C-101B-9397-08002B2CF9AE}" pid="4" name="KSOTemplateDocerSaveRecord">
    <vt:lpwstr>eyJoZGlkIjoiY2QxM2RlNzFkMjJhOTNmNWM5MjQxNWNkNTkzM2ZmZTQiLCJ1c2VySWQiOiI5ODE1NTE0MTAifQ==</vt:lpwstr>
  </property>
</Properties>
</file>