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both"/>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附件1</w:t>
      </w:r>
    </w:p>
    <w:p>
      <w:pPr>
        <w:adjustRightInd/>
        <w:snapToGrid/>
        <w:spacing w:after="0" w:line="360" w:lineRule="auto"/>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成都市新都区</w:t>
      </w:r>
      <w:r>
        <w:rPr>
          <w:rFonts w:hint="eastAsia" w:ascii="Times New Roman" w:hAnsi="Times New Roman" w:eastAsia="方正小标宋简体" w:cs="Times New Roman"/>
          <w:b w:val="0"/>
          <w:bCs/>
          <w:color w:val="auto"/>
          <w:sz w:val="36"/>
          <w:szCs w:val="36"/>
          <w:lang w:eastAsia="zh-CN"/>
        </w:rPr>
        <w:t>第三</w:t>
      </w:r>
      <w:r>
        <w:rPr>
          <w:rFonts w:hint="default" w:ascii="Times New Roman" w:hAnsi="Times New Roman" w:eastAsia="方正小标宋简体" w:cs="Times New Roman"/>
          <w:b w:val="0"/>
          <w:bCs/>
          <w:color w:val="auto"/>
          <w:sz w:val="36"/>
          <w:szCs w:val="36"/>
        </w:rPr>
        <w:t>人民医院</w:t>
      </w:r>
    </w:p>
    <w:p>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i w:val="0"/>
          <w:iCs w:val="0"/>
          <w:caps w:val="0"/>
          <w:color w:val="000000"/>
          <w:spacing w:val="0"/>
          <w:kern w:val="0"/>
          <w:sz w:val="36"/>
          <w:szCs w:val="36"/>
          <w:shd w:val="clear" w:fill="FFFFFF"/>
          <w:lang w:val="en-US" w:eastAsia="zh-CN" w:bidi="ar"/>
        </w:rPr>
        <w:t>医学</w:t>
      </w:r>
      <w:r>
        <w:rPr>
          <w:rFonts w:hint="eastAsia" w:ascii="Times New Roman" w:hAnsi="Times New Roman" w:eastAsia="方正小标宋简体" w:cs="Times New Roman"/>
          <w:b w:val="0"/>
          <w:bCs/>
          <w:i w:val="0"/>
          <w:iCs w:val="0"/>
          <w:caps w:val="0"/>
          <w:color w:val="000000"/>
          <w:spacing w:val="0"/>
          <w:kern w:val="0"/>
          <w:sz w:val="36"/>
          <w:szCs w:val="36"/>
          <w:shd w:val="clear" w:fill="FFFFFF"/>
          <w:lang w:val="en-US" w:eastAsia="zh-CN" w:bidi="ar"/>
        </w:rPr>
        <w:t>数字图书馆</w:t>
      </w:r>
      <w:r>
        <w:rPr>
          <w:rFonts w:hint="default" w:ascii="Times New Roman" w:hAnsi="Times New Roman" w:eastAsia="方正小标宋简体" w:cs="Times New Roman"/>
          <w:b w:val="0"/>
          <w:bCs/>
          <w:i w:val="0"/>
          <w:iCs w:val="0"/>
          <w:caps w:val="0"/>
          <w:color w:val="000000"/>
          <w:spacing w:val="0"/>
          <w:kern w:val="0"/>
          <w:sz w:val="36"/>
          <w:szCs w:val="36"/>
          <w:shd w:val="clear" w:fill="FFFFFF"/>
          <w:lang w:val="en-US" w:eastAsia="zh-CN" w:bidi="ar"/>
        </w:rPr>
        <w:t>采购项目</w:t>
      </w:r>
      <w:r>
        <w:rPr>
          <w:rFonts w:hint="default" w:ascii="Times New Roman" w:hAnsi="Times New Roman" w:eastAsia="方正小标宋简体" w:cs="Times New Roman"/>
          <w:b w:val="0"/>
          <w:bCs/>
          <w:color w:val="auto"/>
          <w:sz w:val="36"/>
          <w:szCs w:val="36"/>
          <w:lang w:val="en-US" w:eastAsia="zh-CN"/>
        </w:rPr>
        <w:t>调研需求内容</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楷体" w:cs="Times New Roman"/>
          <w:color w:val="000000" w:themeColor="text1"/>
          <w:kern w:val="2"/>
          <w:sz w:val="28"/>
          <w:szCs w:val="28"/>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一、项目服务内容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为切实满足医院职工在文献检索、论文撰写以及课题申报等方面的实际需求及三级综合医院评审指标要求，为医院提供医学文献数据库检索服务及高质量的医学信息服务，助力医院学科建设，推动科研活动有序开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服务总体要求：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▲1.所提供服务内容所有资源来源正规，无版权风险；</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▲2.提供中文医学期刊、外文文献数据库，并能够统一检索，数据库能够满足全院职工使用；</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▲3.提供专业数据库查询系统，中文数据库检索并能够直接下载原文，外文文献资源库检索并能够获取原文；</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▲4.中文文献资源库须包含全部中华医学会系列期刊，并能够直接下载全文。</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黑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SA"/>
          <w14:textFill>
            <w14:solidFill>
              <w14:schemeClr w14:val="tx1"/>
            </w14:solidFill>
          </w14:textFill>
        </w:rPr>
        <w:t>二、项目服务要求标准</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28"/>
          <w:szCs w:val="28"/>
          <w:lang w:val="en-US" w:eastAsia="zh-CN" w:bidi="ar-SA"/>
          <w14:textFill>
            <w14:solidFill>
              <w14:schemeClr w14:val="tx1"/>
            </w14:solidFill>
          </w14:textFill>
        </w:rPr>
        <w:t>（一）中文文献库</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1.整体要求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（1）平台应包含中文医学基础资源模块（中文期刊、医学视频、临床参考知识库内容)；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（2）中文医学期刊（网络版）应收录</w:t>
      </w: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2000年至今</w:t>
      </w: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医学期刊不少于1200种，能够整合检索1500余种期刊资源；</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★（3）系统应完整收录截止2025年中华医学会系列期</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刊</w:t>
      </w:r>
      <w:r>
        <w:rPr>
          <w:rFonts w:hint="default" w:ascii="Times New Roman" w:hAnsi="Times New Roman" w:eastAsia="方正仿宋简体" w:cs="Times New Roman"/>
          <w:color w:val="auto"/>
          <w:kern w:val="2"/>
          <w:sz w:val="28"/>
          <w:szCs w:val="28"/>
          <w:highlight w:val="none"/>
          <w:lang w:val="en-US" w:eastAsia="zh-CN" w:bidi="ar-SA"/>
        </w:rPr>
        <w:t>；</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spacing w:after="0" w:line="500" w:lineRule="exact"/>
        <w:ind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（4）医学视频不少于1500部；</w:t>
      </w:r>
    </w:p>
    <w:p>
      <w:pPr>
        <w:keepNext w:val="0"/>
        <w:keepLines w:val="0"/>
        <w:pageBreakBefore w:val="0"/>
        <w:kinsoku/>
        <w:wordWrap/>
        <w:overflowPunct/>
        <w:topLinePunct w:val="0"/>
        <w:autoSpaceDE/>
        <w:autoSpaceDN/>
        <w:bidi w:val="0"/>
        <w:spacing w:after="0" w:line="500" w:lineRule="exact"/>
        <w:ind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临床参考知识库内容包含疾病知识、检查检验知识、药品说明、指南规范、循证文献、病例文献。</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（6）网络访问包括电脑手机移动端访问；</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（7）提供全院每位职工开通账号功能，提供子账号可与个人微信进行绑定，可通过微信进行访问，要求系统具备批量导入功能，无需个人注册添加；</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★（8）应具备在线浏览及本地下载全文功能（中文医学期刊提供实时下载），且访问不限制并发数、访问次数以及下载次数；</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★（9）全部论文为标准的PDF格式，使用免费PDF阅读工具即可阅读，不需要额外的安装阅读软件；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（10）可统计到每个人下载期刊文章目录。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2.检索功能要求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（1）提供初级检索、高级检索、专业检索、学位授予单位导航等基本检索功能；</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（2）提供主题、题名、关键词、摘要、作者、作者单位、创作者等多种检索项；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（3）提供参考文献、引证文献、相关作者文献等功能；</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（4）可实现对用户的访问和使用情况进行详细的记录，并进行统计分析；可按账号、时间、用户、IP地址等方式进行统计分析。</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楷体_GB2312" w:hAnsi="楷体_GB2312" w:eastAsia="楷体_GB2312" w:cs="楷体_GB2312"/>
          <w:color w:val="000000" w:themeColor="text1"/>
          <w:kern w:val="2"/>
          <w:sz w:val="28"/>
          <w:szCs w:val="28"/>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28"/>
          <w:szCs w:val="28"/>
          <w:lang w:val="en-US" w:eastAsia="zh-CN" w:bidi="ar-SA"/>
          <w14:textFill>
            <w14:solidFill>
              <w14:schemeClr w14:val="tx1"/>
            </w14:solidFill>
          </w14:textFill>
        </w:rPr>
        <w:t>（二）外文文献库</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highlight w:val="yellow"/>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1.系统数据不低于2000万条，收录期刊范围</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为</w:t>
      </w:r>
      <w:r>
        <w:rPr>
          <w:rFonts w:hint="eastAsia"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2000</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年</w:t>
      </w: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至今；医学期刊种类要有25000种以上，</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其中SCI期刊不少于5000种；</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w:t>
      </w: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.版权规范，能够提供相关国家科技文献中心（NSTL）关于外文科技文献原文推送服务的证明文件</w:t>
      </w: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黑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SA"/>
          <w14:textFill>
            <w14:solidFill>
              <w14:schemeClr w14:val="tx1"/>
            </w14:solidFill>
          </w14:textFill>
        </w:rPr>
        <w:t>三、售后服务及增值服务要求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1.系统出现问题在接到热线服务需求后，在1小时内响应，并告知解决方案和解决时间；</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2.网络或者远程可以解决问题的，1小时内为用户提供网络服务或者远程支持服务，并在1天内解决问题，或者提供适当的解决方案；</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3.如果通过热线、网络、远程均无法解决问题，技术服务工程师将会在24小时之内赶到现场进行数据维护。</w:t>
      </w:r>
    </w:p>
    <w:p>
      <w:pPr>
        <w:keepNext w:val="0"/>
        <w:keepLines w:val="0"/>
        <w:pageBreakBefore w:val="0"/>
        <w:kinsoku/>
        <w:wordWrap/>
        <w:overflowPunct/>
        <w:topLinePunct w:val="0"/>
        <w:autoSpaceDE/>
        <w:autoSpaceDN/>
        <w:bidi w:val="0"/>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pacing w:after="0" w:line="500" w:lineRule="exact"/>
        <w:ind w:firstLine="560" w:firstLineChars="2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备注：1.带▲为关键参数，须作出实质性响应，有一项不满足，视为无效；</w:t>
      </w:r>
    </w:p>
    <w:p>
      <w:pPr>
        <w:keepNext w:val="0"/>
        <w:keepLines w:val="0"/>
        <w:pageBreakBefore w:val="0"/>
        <w:kinsoku/>
        <w:wordWrap/>
        <w:overflowPunct/>
        <w:topLinePunct w:val="0"/>
        <w:autoSpaceDE/>
        <w:autoSpaceDN/>
        <w:bidi w:val="0"/>
        <w:spacing w:after="0" w:line="500" w:lineRule="exact"/>
        <w:ind w:firstLine="1400" w:firstLineChars="5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2.标★注号的参数为重要参数，不满足的做扣分处理。</w:t>
      </w:r>
    </w:p>
    <w:p>
      <w:pPr>
        <w:keepNext w:val="0"/>
        <w:keepLines w:val="0"/>
        <w:pageBreakBefore w:val="0"/>
        <w:kinsoku/>
        <w:wordWrap/>
        <w:overflowPunct/>
        <w:topLinePunct w:val="0"/>
        <w:autoSpaceDE/>
        <w:autoSpaceDN/>
        <w:bidi w:val="0"/>
        <w:spacing w:after="0" w:line="500" w:lineRule="exact"/>
        <w:ind w:firstLine="1400" w:firstLineChars="500"/>
        <w:textAlignment w:val="auto"/>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3</w:t>
      </w:r>
      <w:r>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.具体需求以采购文件为准。</w:t>
      </w:r>
    </w:p>
    <w:p>
      <w:pPr>
        <w:keepNext w:val="0"/>
        <w:keepLines w:val="0"/>
        <w:pageBreakBefore w:val="0"/>
        <w:kinsoku/>
        <w:wordWrap/>
        <w:overflowPunct/>
        <w:topLinePunct w:val="0"/>
        <w:autoSpaceDE/>
        <w:autoSpaceDN/>
        <w:bidi w:val="0"/>
        <w:spacing w:after="0" w:line="500" w:lineRule="exact"/>
        <w:textAlignment w:val="auto"/>
        <w:rPr>
          <w:rFonts w:hint="default" w:ascii="Times New Roman" w:hAnsi="Times New Roman" w:eastAsia="方正仿宋简体"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eastAsia" w:ascii="方正仿宋简体" w:hAnsi="方正仿宋简体" w:eastAsia="方正仿宋简体" w:cs="方正仿宋简体"/>
          <w:color w:val="000000" w:themeColor="text1"/>
          <w:kern w:val="2"/>
          <w:sz w:val="28"/>
          <w:szCs w:val="28"/>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2AE09E-F093-4110-A37B-36BF022322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21C5D516-AFEC-4ABC-B537-96C4994FD29A}"/>
  </w:font>
  <w:font w:name="楷体">
    <w:panose1 w:val="02010609060101010101"/>
    <w:charset w:val="86"/>
    <w:family w:val="auto"/>
    <w:pitch w:val="default"/>
    <w:sig w:usb0="800002BF" w:usb1="38CF7CFA" w:usb2="00000016" w:usb3="00000000" w:csb0="00040001" w:csb1="00000000"/>
    <w:embedRegular r:id="rId3" w:fontKey="{86587D99-252E-4C59-9145-B18607BF263F}"/>
  </w:font>
  <w:font w:name="楷体_GB2312">
    <w:panose1 w:val="02010609030101010101"/>
    <w:charset w:val="86"/>
    <w:family w:val="auto"/>
    <w:pitch w:val="default"/>
    <w:sig w:usb0="00000001" w:usb1="080E0000" w:usb2="00000000" w:usb3="00000000" w:csb0="00040000" w:csb1="00000000"/>
    <w:embedRegular r:id="rId4" w:fontKey="{08867D34-5CF1-42A2-9120-34507408B40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00000000"/>
    <w:rsid w:val="024E05D6"/>
    <w:rsid w:val="09854C3E"/>
    <w:rsid w:val="16DF0BA5"/>
    <w:rsid w:val="171A0B39"/>
    <w:rsid w:val="17FB7F72"/>
    <w:rsid w:val="1A2D5F41"/>
    <w:rsid w:val="21AB3214"/>
    <w:rsid w:val="31F01A47"/>
    <w:rsid w:val="347C5147"/>
    <w:rsid w:val="35CD57AB"/>
    <w:rsid w:val="57DD4F04"/>
    <w:rsid w:val="5E3F7618"/>
    <w:rsid w:val="63941A11"/>
    <w:rsid w:val="730701C4"/>
    <w:rsid w:val="758B02BC"/>
    <w:rsid w:val="7E14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1224</Characters>
  <Lines>0</Lines>
  <Paragraphs>0</Paragraphs>
  <TotalTime>7</TotalTime>
  <ScaleCrop>false</ScaleCrop>
  <LinksUpToDate>false</LinksUpToDate>
  <CharactersWithSpaces>1225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2025-02-18T00:45:00Z</dcterms:created>
  <dc:creator>Administrator</dc:creator>
  <cp:lastModifiedBy>陈霞</cp:lastModifiedBy>
  <cp:lastPrinted>2025-05-08T02:37:00Z</cp:lastPrinted>
  <dcterms:modified xsi:type="dcterms:W3CDTF">2025-05-08T09:23:50Z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780E4523C8584EAC9BCE71ACC3CB3FEE_13</vt:lpwstr>
  </property>
  <property fmtid="{D5CDD505-2E9C-101B-9397-08002B2CF9AE}" pid="4" name="KSOTemplateDocerSaveRecord">
    <vt:lpwstr>eyJoZGlkIjoiYTcwMWRhMDI4MTE3Y2M2ZmRiMTExOGRhNjc4ODViMGYiLCJ1c2VySWQiOiIyNDY0Njc4NTAifQ==</vt:lpwstr>
  </property>
</Properties>
</file>