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4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附件1 </w:t>
      </w: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项目建设背景及需求</w:t>
      </w:r>
      <w:bookmarkEnd w:id="0"/>
    </w:p>
    <w:p w14:paraId="79CBF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C655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一、项目建设背景及现状</w:t>
      </w:r>
    </w:p>
    <w:p w14:paraId="577BD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为进一步加强医疗服务能力、效率、费用、安全等管理，提升医院综合竞争力，符合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公立医院绩效考核、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医院等级评审、医疗“三监管”、临床重点专科等评价工作要求，医院拟进行DRGs综合评价管理系统建设。</w:t>
      </w:r>
    </w:p>
    <w:p w14:paraId="0EF60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二、项目服务要求</w:t>
      </w:r>
    </w:p>
    <w:p w14:paraId="2AE95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充分利用病案首页数据建设医院DRGS综合评价管理系统，结合DRGS分组器工具，通过DRGs关键指标(DRG组数、CMI、总权重、时间消耗指数、费用消耗指数、中低及以下风险组病死率、标化病死率等)对医院进行综合评价。以实现对医疗服务能力、效率、费用、安全等管理，并对规范病案首页数据的质量、住院费用控制都能提供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50B84D-494D-4BB0-8CDD-15879A086B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D234E87-5A0A-468B-9993-7A06DFEAF3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TMyMzAwMjUyMmU2YjhmZGFmOWU5NDQ4MDAzNGIifQ=="/>
  </w:docVars>
  <w:rsids>
    <w:rsidRoot w:val="00000000"/>
    <w:rsid w:val="0B697CF2"/>
    <w:rsid w:val="1D1D0F4A"/>
    <w:rsid w:val="656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283</Characters>
  <Lines>0</Lines>
  <Paragraphs>0</Paragraphs>
  <TotalTime>249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2025-03-11T02:04:00Z</dcterms:created>
  <dc:creator>lq</dc:creator>
  <cp:lastModifiedBy>林晓娅</cp:lastModifiedBy>
  <dcterms:modified xsi:type="dcterms:W3CDTF">2025-03-12T05:13:57Z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801D5A79E99F434FB39186D6D5F9752D_12</vt:lpwstr>
  </property>
  <property fmtid="{D5CDD505-2E9C-101B-9397-08002B2CF9AE}" pid="4" name="KSOTemplateDocerSaveRecord">
    <vt:lpwstr>eyJoZGlkIjoiMjdhY2YwZWI5ZmQ2MzU0NmMzYWNmMjczN2Q4MzRjMDciLCJ1c2VySWQiOiI1ODUwNjI5NTAifQ==</vt:lpwstr>
  </property>
</Properties>
</file>