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成都市新都区第三人民医院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2021年医院财务预算报告</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2021年是成都市新都区第三人民医院高速发展，新大楼的投入使用，医院规模的扩大，医院各科室床位的增多，医疗器械的增多，医资力量的壮大，病源的增加，无疑促进成都市新都区第三人医院更好的发展，在医院的壮大的同时，更需要加强预算管理，根据政府会计准则，以及医院的财务制度的规定：医院要实行全面的预算管理，建立健全预算管理制度。在院长的领导下，我院加强对财务的监督和管理，全员的，全面的参与医院预算，开源节流，为我院进一步发展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一、2020预算执行情况分析</w:t>
      </w:r>
    </w:p>
    <w:p>
      <w:pPr>
        <w:numPr>
          <w:ilvl w:val="0"/>
          <w:numId w:val="0"/>
        </w:numPr>
        <w:outlineLvl w:val="1"/>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（一）收入方面</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  2020年全院实现医疗业务收入93425333.4元( 其中: 已实现药品收入16850313.84元),低于2019年预算收入2191467.57元。收入药占比为19.89%（除中药饮片外药品收入）。门急诊疗243111次,同比下降9.6%。出院病人9737人次,较上年同期增加21.8%。2020年门急诊人次和出院人次，较上年同期都有较大的增长。2020年医院较好的完成了预算，在2021年需进一步提高医院竞争力，健全完善医院各项制度，提高医疗服务水平，树立良好的医院形象，打造特色科室，提高医院核心竞争力，更好地为服务于患者，才能更好地扩大病源，提高医疗收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 2020年财政补助经费62163128.66元,较上年同期增加5.33%元，其中项目支出补助收入48823658.66元。</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firstLine="0" w:firstLineChars="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 2020年医院总收入为142248992.06元。</w:t>
      </w:r>
    </w:p>
    <w:p>
      <w:pPr>
        <w:numPr>
          <w:ilvl w:val="0"/>
          <w:numId w:val="2"/>
        </w:numPr>
        <w:outlineLvl w:val="1"/>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支出方面</w:t>
      </w: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outlineLvl w:val="9"/>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2020年总支出122310000.25元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2"/>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1.财政拨款经费2020年支出</w:t>
      </w:r>
      <w:r>
        <w:rPr>
          <w:rFonts w:hint="eastAsia" w:ascii="方正仿宋简体" w:hAnsi="方正仿宋简体" w:eastAsia="方正仿宋简体" w:cs="方正仿宋简体"/>
          <w:color w:val="auto"/>
          <w:sz w:val="28"/>
          <w:szCs w:val="28"/>
          <w:lang w:val="en-US" w:eastAsia="zh-CN"/>
        </w:rPr>
        <w:t>62163128.66</w:t>
      </w:r>
      <w:r>
        <w:rPr>
          <w:rFonts w:hint="eastAsia" w:ascii="方正仿宋简体" w:hAnsi="方正仿宋简体" w:eastAsia="方正仿宋简体" w:cs="方正仿宋简体"/>
          <w:color w:val="auto"/>
          <w:sz w:val="28"/>
          <w:szCs w:val="28"/>
          <w:lang w:val="en-US" w:eastAsia="zh-CN" w:bidi="ar-SA"/>
        </w:rPr>
        <w:t>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2"/>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2.业务支出2020年元79843028.21（不含财政拨款）,其中:</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2.1  医疗业务成本2020年支出 69945848.43元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2.2  管理费用2020年支出9761644.27元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2.3  其他支出2020年支出 135535.51元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bidi="ar-SA"/>
        </w:rPr>
        <w:t>2.4  2020年医疗业务成本，管理费用，其他支出都在预算范围内，且小于预算，医院成本控制较好，应继续保持。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Fonts w:hint="eastAsia" w:ascii="黑体" w:hAnsi="黑体" w:eastAsia="黑体" w:cs="黑体"/>
          <w:color w:val="auto"/>
          <w:sz w:val="28"/>
          <w:szCs w:val="28"/>
          <w:shd w:val="clear" w:color="FFFFFF" w:fill="D9D9D9"/>
          <w:lang w:val="en-US" w:eastAsia="zh-CN"/>
        </w:rPr>
      </w:pPr>
      <w:r>
        <w:rPr>
          <w:rFonts w:hint="eastAsia" w:ascii="黑体" w:hAnsi="黑体" w:eastAsia="黑体" w:cs="黑体"/>
          <w:color w:val="auto"/>
          <w:sz w:val="28"/>
          <w:szCs w:val="28"/>
          <w:lang w:val="en-US" w:eastAsia="zh-CN"/>
        </w:rPr>
        <w:t>二、收入预算的编制</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outlineLvl w:val="9"/>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根据国家医改政策的指导思想。结合我院建设规划的要求，考虑医疗服务价格调整及其他影响因素，2021年计划业务收入达到1.44亿元（不包括财政拨款），业务收入与药品收入比例控制在30%以内。</w:t>
      </w:r>
    </w:p>
    <w:p>
      <w:pPr>
        <w:numPr>
          <w:ilvl w:val="0"/>
          <w:numId w:val="3"/>
        </w:numPr>
        <w:outlineLvl w:val="1"/>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收入预算编制的依据：</w:t>
      </w:r>
    </w:p>
    <w:p>
      <w:pPr>
        <w:numPr>
          <w:ilvl w:val="0"/>
          <w:numId w:val="4"/>
        </w:numPr>
        <w:outlineLvl w:val="2"/>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门诊收入基础数据表</w:t>
      </w:r>
    </w:p>
    <w:tbl>
      <w:tblPr>
        <w:tblStyle w:val="3"/>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05"/>
        <w:gridCol w:w="1815"/>
        <w:gridCol w:w="223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5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项目</w:t>
            </w:r>
          </w:p>
        </w:tc>
        <w:tc>
          <w:tcPr>
            <w:tcW w:w="190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门诊收入</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（万元）</w:t>
            </w:r>
          </w:p>
        </w:tc>
        <w:tc>
          <w:tcPr>
            <w:tcW w:w="181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门诊人</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次</w:t>
            </w:r>
          </w:p>
        </w:tc>
        <w:tc>
          <w:tcPr>
            <w:tcW w:w="223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每诊次费用（元）</w:t>
            </w:r>
          </w:p>
        </w:tc>
        <w:tc>
          <w:tcPr>
            <w:tcW w:w="1740"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收入药占比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vAlign w:val="top"/>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2019</w:t>
            </w:r>
          </w:p>
        </w:tc>
        <w:tc>
          <w:tcPr>
            <w:tcW w:w="19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3383.53</w:t>
            </w:r>
          </w:p>
        </w:tc>
        <w:tc>
          <w:tcPr>
            <w:tcW w:w="18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269177</w:t>
            </w:r>
          </w:p>
        </w:tc>
        <w:tc>
          <w:tcPr>
            <w:tcW w:w="2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125.7</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 xml:space="preserve">25.97%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tcPr>
          <w:p>
            <w:pPr>
              <w:jc w:val="left"/>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2020</w:t>
            </w:r>
          </w:p>
        </w:tc>
        <w:tc>
          <w:tcPr>
            <w:tcW w:w="190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3911.43</w:t>
            </w:r>
          </w:p>
        </w:tc>
        <w:tc>
          <w:tcPr>
            <w:tcW w:w="181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243111</w:t>
            </w:r>
          </w:p>
        </w:tc>
        <w:tc>
          <w:tcPr>
            <w:tcW w:w="22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160.89</w:t>
            </w:r>
          </w:p>
        </w:tc>
        <w:tc>
          <w:tcPr>
            <w:tcW w:w="174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 xml:space="preserve">19.89%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5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增长率</w:t>
            </w:r>
          </w:p>
        </w:tc>
        <w:tc>
          <w:tcPr>
            <w:tcW w:w="190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15.6%</w:t>
            </w:r>
          </w:p>
        </w:tc>
        <w:tc>
          <w:tcPr>
            <w:tcW w:w="181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-9.68%</w:t>
            </w:r>
          </w:p>
        </w:tc>
        <w:tc>
          <w:tcPr>
            <w:tcW w:w="22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28%</w:t>
            </w:r>
          </w:p>
        </w:tc>
        <w:tc>
          <w:tcPr>
            <w:tcW w:w="174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-6.08%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由上表分析可见：门诊收入增长15.6%，门诊人次减少9.68%，门诊次均费用增长28%。同时，收入药占比增加9.9%，主要是医疗业务收入增长较大，医院次均费用增加。</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left"/>
        <w:textAlignment w:val="auto"/>
        <w:outlineLvl w:val="2"/>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住院收入及工作量情况</w:t>
      </w:r>
    </w:p>
    <w:tbl>
      <w:tblPr>
        <w:tblStyle w:val="3"/>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75"/>
        <w:gridCol w:w="1125"/>
        <w:gridCol w:w="1395"/>
        <w:gridCol w:w="1335"/>
        <w:gridCol w:w="156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项目</w:t>
            </w:r>
          </w:p>
        </w:tc>
        <w:tc>
          <w:tcPr>
            <w:tcW w:w="137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住院收入（万元）</w:t>
            </w:r>
          </w:p>
        </w:tc>
        <w:tc>
          <w:tcPr>
            <w:tcW w:w="112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平均住院日</w:t>
            </w:r>
          </w:p>
        </w:tc>
        <w:tc>
          <w:tcPr>
            <w:tcW w:w="139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每床日费用</w:t>
            </w:r>
          </w:p>
        </w:tc>
        <w:tc>
          <w:tcPr>
            <w:tcW w:w="133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出院人数</w:t>
            </w:r>
          </w:p>
        </w:tc>
        <w:tc>
          <w:tcPr>
            <w:tcW w:w="1560"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每住院人次平均费用</w:t>
            </w:r>
          </w:p>
        </w:tc>
        <w:tc>
          <w:tcPr>
            <w:tcW w:w="1065" w:type="dxa"/>
          </w:tcPr>
          <w:p>
            <w:pPr>
              <w:jc w:val="left"/>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6" w:type="dxa"/>
            <w:vAlign w:val="top"/>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2019年</w:t>
            </w:r>
          </w:p>
        </w:tc>
        <w:tc>
          <w:tcPr>
            <w:tcW w:w="13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2710.61</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7.26</w:t>
            </w:r>
          </w:p>
        </w:tc>
        <w:tc>
          <w:tcPr>
            <w:tcW w:w="1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467.23</w:t>
            </w:r>
          </w:p>
        </w:tc>
        <w:tc>
          <w:tcPr>
            <w:tcW w:w="13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7994</w:t>
            </w:r>
          </w:p>
        </w:tc>
        <w:tc>
          <w:tcPr>
            <w:tcW w:w="156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3390.81</w:t>
            </w:r>
          </w:p>
        </w:tc>
        <w:tc>
          <w:tcPr>
            <w:tcW w:w="10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58014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2020年</w:t>
            </w:r>
          </w:p>
        </w:tc>
        <w:tc>
          <w:tcPr>
            <w:tcW w:w="137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3966.59</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7.06</w:t>
            </w:r>
          </w:p>
        </w:tc>
        <w:tc>
          <w:tcPr>
            <w:tcW w:w="1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576.71</w:t>
            </w:r>
          </w:p>
        </w:tc>
        <w:tc>
          <w:tcPr>
            <w:tcW w:w="13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9737</w:t>
            </w:r>
          </w:p>
        </w:tc>
        <w:tc>
          <w:tcPr>
            <w:tcW w:w="1560" w:type="dxa"/>
            <w:vAlign w:val="center"/>
          </w:tcPr>
          <w:p>
            <w:pPr>
              <w:keepNext w:val="0"/>
              <w:keepLines w:val="0"/>
              <w:widowControl/>
              <w:suppressLineNumbers w:val="0"/>
              <w:jc w:val="left"/>
              <w:textAlignment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4073.73</w:t>
            </w:r>
          </w:p>
        </w:tc>
        <w:tc>
          <w:tcPr>
            <w:tcW w:w="1065" w:type="dxa"/>
            <w:vAlign w:val="center"/>
          </w:tcPr>
          <w:p>
            <w:pPr>
              <w:keepNext w:val="0"/>
              <w:keepLines w:val="0"/>
              <w:widowControl/>
              <w:suppressLineNumbers w:val="0"/>
              <w:jc w:val="left"/>
              <w:textAlignment w:val="center"/>
              <w:rPr>
                <w:rFonts w:hint="default" w:asciiTheme="minorEastAsia" w:hAnsiTheme="minorEastAsia" w:cstheme="minorEastAsia"/>
                <w:color w:val="0000FF"/>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68779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增长率</w:t>
            </w:r>
          </w:p>
        </w:tc>
        <w:tc>
          <w:tcPr>
            <w:tcW w:w="137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46.34%</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-2.67%</w:t>
            </w:r>
          </w:p>
        </w:tc>
        <w:tc>
          <w:tcPr>
            <w:tcW w:w="1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23.43%</w:t>
            </w:r>
          </w:p>
        </w:tc>
        <w:tc>
          <w:tcPr>
            <w:tcW w:w="13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21.8%</w:t>
            </w:r>
          </w:p>
        </w:tc>
        <w:tc>
          <w:tcPr>
            <w:tcW w:w="156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20.14%</w:t>
            </w:r>
          </w:p>
        </w:tc>
        <w:tc>
          <w:tcPr>
            <w:tcW w:w="1065" w:type="dxa"/>
            <w:vAlign w:val="center"/>
          </w:tcPr>
          <w:p>
            <w:pPr>
              <w:keepNext w:val="0"/>
              <w:keepLines w:val="0"/>
              <w:widowControl/>
              <w:suppressLineNumbers w:val="0"/>
              <w:jc w:val="left"/>
              <w:textAlignment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由上表分析可见：2020年较2019年住院收入增长率高达46.34%，住院要是由以下几方面原因所致：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2.1  每床床日费用增长24.36%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2.2  病人出院人数增长21.8%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2.3  每住院人次平均费用增长20.14%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default" w:ascii="方正仿宋简体" w:hAnsi="方正仿宋简体" w:eastAsia="方正仿宋简体" w:cs="方正仿宋简体"/>
          <w:b w:val="0"/>
          <w:bCs w:val="0"/>
          <w:color w:val="auto"/>
          <w:sz w:val="28"/>
          <w:szCs w:val="28"/>
          <w:lang w:val="en-US" w:eastAsia="zh-CN"/>
        </w:rPr>
      </w:pPr>
      <w:r>
        <w:rPr>
          <w:rFonts w:hint="eastAsia" w:ascii="方正仿宋简体" w:hAnsi="方正仿宋简体" w:eastAsia="方正仿宋简体" w:cs="方正仿宋简体"/>
          <w:b w:val="0"/>
          <w:bCs w:val="0"/>
          <w:color w:val="auto"/>
          <w:sz w:val="28"/>
          <w:szCs w:val="28"/>
          <w:lang w:val="en-US" w:eastAsia="zh-CN"/>
        </w:rPr>
        <w:t>2.4  占用床日数增长16.5%</w:t>
      </w:r>
    </w:p>
    <w:p>
      <w:pPr>
        <w:numPr>
          <w:ilvl w:val="0"/>
          <w:numId w:val="0"/>
        </w:numPr>
        <w:outlineLvl w:val="1"/>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（二） 2021年门诊收入的影响因素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  2021年新大楼已经使用，医院接纳病人扩容量的增加，设备的增加，医疗环境的大幅度提高，有利于增加门诊病源。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  如果2021年医疗服务收费价格调整，有利于医院医疗业务收入的增长。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3. 城镇职工，城镇居民参保病员的进一步增加，病源的持续扩大化，有利于门诊人次的增加。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4.  医院配套设施的优化，医疗团队的提高，医疗服务理念的加强，都有利于树立医院的良好的形象，增加病源，提高门诊收入。</w:t>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outlineLvl w:val="1"/>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（三）2021年住院收入的影响因素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城镇职工，城乡居民参保病员增加，导致住院人数增加，临床科室医务人员应严格“三基培训”提高医疗技术水平和为患者服务的满意度。2021年新大楼开始使用，床位的增加，医护人员的增加，都利于容纳更多的住院病人，加上2021年医院扩大招人，医资力量的进一步壮大，收治的病源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在本预算中占用床日数按28.3%的增长率测算;如果床位费、护理费、医疗服务收费等价格调增,对每床日费用增长有一定的推动作用;控制收入药占比会降低每床日费用,从而对收入增长起到抵减作用。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另外,医疗政策的重大调整、物价因素、突发疫情、激励方案等都将会对收入增长产生较大的影响。</w:t>
      </w:r>
    </w:p>
    <w:p>
      <w:pPr>
        <w:numPr>
          <w:ilvl w:val="0"/>
          <w:numId w:val="0"/>
        </w:numPr>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收入预算见下表:</w:t>
      </w:r>
    </w:p>
    <w:p>
      <w:pPr>
        <w:numPr>
          <w:ilvl w:val="0"/>
          <w:numId w:val="0"/>
        </w:numPr>
        <w:ind w:firstLine="3080" w:firstLineChars="11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p>
    <w:p>
      <w:pPr>
        <w:numPr>
          <w:ilvl w:val="0"/>
          <w:numId w:val="0"/>
        </w:numPr>
        <w:ind w:firstLine="3080" w:firstLineChars="11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2021年收入预算</w:t>
      </w:r>
    </w:p>
    <w:p>
      <w:pPr>
        <w:numPr>
          <w:ilvl w:val="0"/>
          <w:numId w:val="0"/>
        </w:numPr>
        <w:ind w:firstLine="7280" w:firstLineChars="26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单位：元</w:t>
      </w:r>
    </w:p>
    <w:tbl>
      <w:tblPr>
        <w:tblStyle w:val="2"/>
        <w:tblW w:w="88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3"/>
        <w:gridCol w:w="1995"/>
        <w:gridCol w:w="4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    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预算金额</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一、财政补助收入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66514547.67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0" w:firstLineChars="1000"/>
              <w:jc w:val="both"/>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二、门诊收入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57876394.09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243111人次×115.6%×160.89元×128%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其中: 医疗收入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48616171.03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门诊收入的84</w:t>
            </w:r>
            <w:r>
              <w:rPr>
                <w:rStyle w:val="7"/>
                <w:rFonts w:eastAsia="宋体"/>
                <w:color w:val="auto"/>
                <w:lang w:val="en-US" w:eastAsia="zh-CN" w:bidi="ar"/>
              </w:rPr>
              <w:t>%</w:t>
            </w:r>
            <w:r>
              <w:rPr>
                <w:rStyle w:val="8"/>
                <w:color w:val="auto"/>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药品收入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9260223.054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收入药占比按16</w:t>
            </w:r>
            <w:r>
              <w:rPr>
                <w:rStyle w:val="7"/>
                <w:rFonts w:eastAsia="宋体"/>
                <w:color w:val="auto"/>
                <w:lang w:val="en-US" w:eastAsia="zh-CN" w:bidi="ar"/>
              </w:rPr>
              <w:t>%</w:t>
            </w:r>
            <w:r>
              <w:rPr>
                <w:rStyle w:val="8"/>
                <w:color w:val="auto"/>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三、住院收入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57037435.88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68779住院床日×116.5%×576.71元/床日×123.43%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其中: 医疗收入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0"/>
                <w:szCs w:val="20"/>
                <w:u w:val="none"/>
                <w:lang w:val="en-US" w:eastAsia="zh-CN" w:bidi="ar"/>
              </w:rPr>
              <w:t>40496579.48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住院收入的71</w:t>
            </w:r>
            <w:r>
              <w:rPr>
                <w:rStyle w:val="7"/>
                <w:rFonts w:eastAsia="宋体"/>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药品收入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0"/>
                <w:szCs w:val="20"/>
                <w:u w:val="none"/>
                <w:lang w:val="en-US" w:eastAsia="zh-CN" w:bidi="ar"/>
              </w:rPr>
              <w:t>16540856.41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收入药占比按29</w:t>
            </w:r>
            <w:r>
              <w:rPr>
                <w:rStyle w:val="7"/>
                <w:rFonts w:eastAsia="宋体"/>
                <w:color w:val="auto"/>
                <w:lang w:val="en-US" w:eastAsia="zh-CN" w:bidi="ar"/>
              </w:rPr>
              <w:t>%</w:t>
            </w:r>
            <w:r>
              <w:rPr>
                <w:rStyle w:val="8"/>
                <w:color w:val="auto"/>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四、其他收入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1357359.14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在2020年的基础上递增20%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182785736.8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kern w:val="0"/>
                <w:sz w:val="20"/>
                <w:szCs w:val="20"/>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注：（一）预算收入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一：财政收入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预计2021年财政基本收入：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预计2021年在职人员日常经费及人员经费为1058万元（其中不包含2021年预计新增在职人员）。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二：门诊收入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1：预算在2021年门诊收入57876394.09（2020年门诊人次243111人，2020年门诊人次增幅为15.6%，2020年每次费用为160.89元，2020年每次费用增幅为28%）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2：门诊医疗收入为34123533.68元，按预计门诊收入的84%计算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3：门诊药品收入为6499720.7元，按预计门诊收入的16%计算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三：住院收入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1：预计在2021年住院收入为48616171.03元（2020年住院床日数为68779,2020年住院床日数增幅为16.5%，2020年每床日费用为576.71元，2020年每床日增幅为23.43%）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2：住院医疗收入为40496579.48，按预计住院收入的71%计算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3：住院药品收入为16540856.41元，按预计住院收入的29%计算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四：经讨论，医疗收入，预计1.44亿（每月以1200万为目标）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auto"/>
          <w:sz w:val="28"/>
          <w:szCs w:val="28"/>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jc w:val="both"/>
        <w:textAlignment w:val="auto"/>
        <w:outlineLvl w:val="0"/>
        <w:rPr>
          <w:rFonts w:hint="eastAsia" w:ascii="楷体" w:hAnsi="楷体" w:eastAsia="楷体" w:cs="楷体"/>
          <w:color w:val="auto"/>
          <w:sz w:val="28"/>
          <w:szCs w:val="28"/>
          <w:lang w:val="en-US" w:eastAsia="zh-CN"/>
        </w:rPr>
      </w:pPr>
      <w:r>
        <w:rPr>
          <w:rFonts w:hint="eastAsia" w:ascii="黑体" w:hAnsi="黑体" w:eastAsia="黑体" w:cs="黑体"/>
          <w:color w:val="auto"/>
          <w:sz w:val="28"/>
          <w:szCs w:val="28"/>
          <w:lang w:val="en-US" w:eastAsia="zh-CN"/>
        </w:rPr>
        <w:t>支出预算的编制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（一）预算的原则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 目标一致性原则。预算必须与医院目标相一致各级预算必须服从于医院的战略目标和经营目标。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 全面性原则。一切生产经营活动全部纳入预算管理,做到全员参与、全面覆盖。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 适度性原则。遵循实事求是的原则,防止低估或高估预算目标,保证预算在执行过程中切实可行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4. 分级预算原则。各科室对各自归口的业务做预算并对预算编制负责,医院对各科室予以监控审批。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5. 上下结合原则。自上而下分解目标,自下而上编制预算。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 不调整原则。预算一旦确定,没有审批,不予调整,以保证预算的严肃性与合法性。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28"/>
          <w:szCs w:val="28"/>
          <w:lang w:val="en-US" w:eastAsia="zh-CN"/>
        </w:rPr>
        <w:t xml:space="preserve">（二）  </w:t>
      </w:r>
      <w:r>
        <w:rPr>
          <w:rFonts w:hint="eastAsia" w:ascii="方正仿宋简体" w:hAnsi="方正仿宋简体" w:eastAsia="方正仿宋简体" w:cs="方正仿宋简体"/>
          <w:color w:val="auto"/>
          <w:sz w:val="28"/>
          <w:szCs w:val="28"/>
          <w:lang w:val="en-US" w:eastAsia="zh-CN"/>
        </w:rPr>
        <w:t>根据2021年医院工作计划,结和我院实际,本年度预算首先确保临床开展医疗业务活动所需资金;在收入稳步增长的基础上,合理为职工参加医疗保险和职工互助保险等福利待遇;对新技术应用所产生的效益予以适当的奖励，新大楼的使用，各科室的建设，包括科室医疗器械的完善，科室基本设备设备的完善，是本年预算支出的主要目标，按照政府会计准则等规定提取医疗风险基金，防范医疗风险，控制日常公用和行政后勤开展，最大限度的节约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楷体" w:hAnsi="楷体" w:eastAsia="楷体" w:cs="楷体"/>
          <w:color w:val="auto"/>
          <w:sz w:val="28"/>
          <w:szCs w:val="28"/>
          <w:lang w:val="en-US" w:eastAsia="zh-CN"/>
        </w:rPr>
        <w:t>（三）医疗业务支出（详见附表）: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（1）人员经费：1：2021年加上新增专业技术人员及管理人员医院预计450人，预计人员经费68951097.16元。2：科研论文，评优等奖励20万。3：随着收入的增长，预计2021年收入1.44亿，按比例，绩效奖励增加601万。</w:t>
      </w:r>
      <w:r>
        <w:rPr>
          <w:rFonts w:hint="eastAsia" w:ascii="宋体" w:hAnsi="宋体" w:eastAsia="宋体" w:cs="宋体"/>
          <w:i w:val="0"/>
          <w:color w:val="auto"/>
          <w:kern w:val="0"/>
          <w:sz w:val="20"/>
          <w:szCs w:val="20"/>
          <w:u w:val="none"/>
          <w:lang w:val="en-US" w:eastAsia="zh-CN" w:bidi="ar"/>
        </w:rPr>
        <w:br w:type="textWrapping"/>
      </w:r>
      <w:r>
        <w:rPr>
          <w:rFonts w:hint="eastAsia" w:ascii="方正仿宋简体" w:hAnsi="方正仿宋简体" w:eastAsia="方正仿宋简体" w:cs="方正仿宋简体"/>
          <w:color w:val="auto"/>
          <w:sz w:val="28"/>
          <w:szCs w:val="28"/>
          <w:lang w:val="en-US" w:eastAsia="zh-CN"/>
        </w:rPr>
        <w:t xml:space="preserve">（2）维修（护）费：1：门诊楼一部电梯，住院楼七部电梯，每台每年6000元 2：消防维保服务外包，服务费5万元3：行政楼、附属楼、院大楼监控维修费预计开支3万 4：门诊楼电梯于2020年安装，年久故障多5万  5： 应急指示灯、应急照明灯、消火栓等消防设施维修2万                                6：供应室地面墙面损坏，预计20万元。 7：目前医疗垃圾房位于医院正门右侧，不符合院感要求，二甲创建时专家已经提出需要重新设置地点修建，预计修建120平方米，2020年因疫情原因为修建，约投入80万元。                    8：流程改:65万。各科室申请的流程改造包含：超声科9万元、儿科5万元、检验科20万元、急诊科100万元（已经纳入门诊楼改造）、手术室1万元、内二科20万元（部分已经纳入门诊楼改造）、妇产科5万元，其它未预计的约20万元，共计65万元。9：零星维:50万。医院新建住院大楼及发热门诊在修建中赶工严重，且施工方严重不负责任，目前医院零星维修费用支出偏多，预计2021年约50万元。10：信息维护等2269700元11：WIFI改整263400元12：机房动态环境监测250000元 </w:t>
      </w:r>
    </w:p>
    <w:p>
      <w:pPr>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（3）提取医疗风险基金:按医院医疗收入的3</w:t>
      </w:r>
      <w:r>
        <w:rPr>
          <w:rFonts w:hint="eastAsia" w:ascii="宋体" w:hAnsi="宋体" w:eastAsia="宋体" w:cs="宋体"/>
          <w:i w:val="0"/>
          <w:color w:val="auto"/>
          <w:kern w:val="0"/>
          <w:sz w:val="20"/>
          <w:szCs w:val="20"/>
          <w:u w:val="none"/>
          <w:lang w:val="en-US" w:eastAsia="zh-CN" w:bidi="ar"/>
        </w:rPr>
        <w:t>‰</w:t>
      </w:r>
      <w:r>
        <w:rPr>
          <w:rFonts w:hint="eastAsia" w:ascii="方正仿宋简体" w:hAnsi="方正仿宋简体" w:eastAsia="方正仿宋简体" w:cs="方正仿宋简体"/>
          <w:color w:val="auto"/>
          <w:sz w:val="28"/>
          <w:szCs w:val="28"/>
          <w:lang w:val="en-US" w:eastAsia="zh-CN"/>
        </w:rPr>
        <w:t>提取编制。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（4）物业管理费：1：保安人员共16人，4000元/月.人 2：2018年医院物业外包门诊楼费用736000元，2019年新建住院大楼物业招标费用1526108元，新建发热门诊、明年门诊楼改造、需增加保洁人员，预计需增加15万左右。共计240万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（5）劳务费：1：医院非专业技术及行政岗位的劳务派遣服务费用，预计金额4000000元左右。2：患者一站式服务中心建设（护工6个；客服9个；）3：专家指导（包括管理、专业技术等）：50人次，合计20万  5：外包服务210万元 6：医联体40万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其他商品和服务支出：1：党日活动每月1次，共计12次，每次费用预计4000元，合计48000元左右。4：建党纪念活动、警示教育活动、革命教育活动等，预计费用30000元。按照上级要求，预计支付大型媒体报道4次，合计160000元左右  5：利息900万，本金606万等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（7）其他公用支出:按照上年度支出适当增加编制。包括行政支出、差旅费、培训费和其他支出等。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（8）固定资产折旧费：1：医疗设备预计买36284900元（其中包括重点专科设备投入预计288万） 2：通用设备预计购买136万 3:药剂科建设设备预计购买600万</w:t>
      </w:r>
    </w:p>
    <w:tbl>
      <w:tblPr>
        <w:tblStyle w:val="2"/>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5"/>
        <w:gridCol w:w="855"/>
        <w:gridCol w:w="945"/>
        <w:gridCol w:w="629"/>
        <w:gridCol w:w="646"/>
        <w:gridCol w:w="1797"/>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2021年预算金额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较2020年增幅比列</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一、人员经费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75161097.16</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1：2021年加上新增专业技术人员及管理人员医院预计450人，预计人员经费68951097.16元。2：科研论文，评优等奖励20万。3：随着收入的增长，预计2021年收入1.44亿，按比例，绩效奖励增加601万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二、日常公用经费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129817102.7</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1：商品和服务支出</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103873219.4</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办公费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报刊书籍订阅，预计金额150000元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印刷费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医院宣传、标识等费用，预计560000元左右:2：护理延伸服务及护患活动针对老年护理、康复护理、慢病管理等养老机构提供培训，深入社区对出院患者进行随访及护理指导，院内护患活动等达到护理服务延伸服务。健康宣教手册、宣教物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咨询费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内部控制建设4万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手续费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9960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2021年每个季度支票1500元，短信费20元一个月，银行年费440元，变更费280元,其他手续费3000元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水费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3万一个月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电费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20万一个月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邮电费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81900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网络专线和科室节目，科室通讯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物业管理费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1：保安人员共16人，4000元/月.人     2：2018年医院物业外包门诊楼费用736000元，2019年新建住院大楼物业招标费用1526108元，新建发热门诊、明年门诊楼改造、需增加保洁人员，预计需增加15万左右。共计240万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差旅费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1：外出开展招聘工作预计8次，每次5000元，合计40000元                                      2：党政办10人，设备科2人、后勤保障科2人、安全保卫科2人、财务科4人，共计20人外出学习培训，预计每人15000元，合计300000元左右。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5"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维修（护）费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5113100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1：门诊楼一部电梯，住院楼七部电梯，每台每年6000元                                 2：消防维保服务外包，服务费5万元                3：行政楼、附属楼、住院大楼监控维修费预计开支3万                                  4：门诊楼电梯于2020年安装，年久故障多5万           5： 应急指示灯、应急照明灯、消火栓等消防设施维修2万                                6：供应室地面墙面损坏，预计20万元。                    7：目前医疗垃圾房位于医院正门右侧，不符合院感要求，二甲创建时专家已经提出需要重新设置地点修建，预计修建120平方米，2020年因疫情原因为修建，约投入80万元。                    8：流程改:65万。各科室申请的流程改造包含：超声科9万元、儿科5万元、检验科20万元、急诊科100万元（已经纳入门诊楼改造）、手术室1万元、内二科20万元（部分已经纳入门诊楼改造）、妇产科5万元，其它未预计的约20万元，共计65万元。9：零星维:50万。医院新建住院大楼及发热门诊在修建中赶工严重，且施工方严重不负责任，目前医院零星维修费用支出偏多，预计2021年约50万元。10：信息维护等2269700元                  11：WIFI改整263400元                   12：机房动态环境监测250000元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租赁费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1：目前医院租摆绿化植物约4万元/年，园区绿化维护管理进行外包约4万元/年，明年门诊楼改造后需要增加绿化费用预计5万元，共计需要绿化管理及租摆植物费用为13万元。2：氧气瓶租借一个月2000元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会议费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19764</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培训费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4150000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3015%</w:t>
            </w:r>
            <w:bookmarkStart w:id="0" w:name="_GoBack"/>
            <w:bookmarkEnd w:id="0"/>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1：电梯、消防及安保相关培训费1万          2：组织院外专家到院就国学、管理、服务、思维方式等方面进行培训。预计金额1000000元    3：专科护士培养20万（造口3名、静疗3名、康复2名、ICU2名、老年2名、急诊急救2名、手术室2名、呼吸1名、血透1名、妇幼2名）               4：外出学习培训16万：护理管理培训4万、临床护理业务技术培训4万（计划60人次）；护理人员进修8万（中医、外科、妇产科、儿科各2名）                   5：（护理）市级继教项目：3万。市级专家授课费1.5万，资料费0.5万，宣传费0.5万，餐费0.5万                       6：进修（专业技术人员培养）35万。管理人员进修：10人次，合计5万医生（医技）进修：22人次（急诊4名、内科一病区2名，内科二病区2名、外一病区2名、外二病区2名，重症2名、中医科（康复）科2名、妇产1名、儿科1名、超声科1名、放射科1名、检验科2名）合计20万:护理人员进修：18人次（中医、外科一病区、外科二病区、急诊科、手术室各2名，妇产科、儿科各4名）合计10万                                 7：医院管理人员培训：100人次，合计30万:    8：医生（医技）培训：临床医技人员专业技术培训计划250人次，合计40万                      9：专科护理人员培训：16人次（康复2名、ICU4名、造口3名、静疗3名、老年2名、急诊急救2名），合计15万                         10：护理培训：护理管理培训10万、临床护理业务技术培训10万（计划100人次），合计20万</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11：重点专科建设：30万    </w:t>
            </w:r>
            <w:r>
              <w:rPr>
                <w:rFonts w:hint="eastAsia" w:ascii="宋体" w:hAnsi="宋体" w:eastAsia="宋体" w:cs="宋体"/>
                <w:i w:val="0"/>
                <w:color w:val="0000FF"/>
                <w:kern w:val="0"/>
                <w:sz w:val="21"/>
                <w:szCs w:val="21"/>
                <w:highlight w:val="none"/>
                <w:u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 xml:space="preserve">             12：（医技）省级继教2个，市级继教5个，区级继教6个（省级4万/次，市级3万/次，区级0.5万/次），合计26万专家专题讲座20人次，合计5万元    13：新增100万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劳务费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7710000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1：医院非专业技术及行政岗位的劳务派遣服务费用，预计金额4000000元左右。2：患者一站式服务中心建设（护工6个；客服9个；）3：专家指导（包括管理、专业技术等）：50人次，合计20万  5：外包服务210万元 6：医联体40万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工会经费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882060.06</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公务用车运行维护费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135157.764</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低值易耗品</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73543.68</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其他交通费用</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卫生材料费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27936000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2021年预计收入1.44亿的19.4%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药品费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30801600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2021年预计收入1.44亿的21.39%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其他材料费</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其他商品和服务支出</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18435053.86</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1：党日活动每月1次，共计12次，每次费用预计4000元，合计48000元左右。4：建党纪念活动、警示教育活动、革命教育活动等，预计费用30000元。按照上级要求，预计支付大型媒体报道4次，合计160000元左右  5：利息900万，本金606万等  6：救护车、公务车用油，发电机用油预计10万。7：各种包布、工作服、床单被套等，预计28万元  8：为进一步加强节能降耗工作，加强科室成本意识，在医院安装节能降耗系统，降低能耗，预计30万。9：含复印纸、墨盒、笔等日常消耗性物:100万。10：污水处理站维修，预计100万 。11：创建友善医院，1.8万元。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2：固定资产折旧</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23371274.83</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1：医疗设备预计买36284900元（其中包括重点专科设备投入预计288万） 2：通用设备预计购买136万 3:药剂科建设设备预计购买600万</w:t>
            </w:r>
          </w:p>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3：无形资产摊销</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2289000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1：信息系统1034.5万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4：提取医疗风险基金</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283608.54</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去年的基础上增加20%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087" w:type="dxa"/>
            <w:gridSpan w:val="3"/>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0"/>
                <w:szCs w:val="20"/>
                <w:u w:val="none"/>
              </w:rPr>
            </w:pPr>
          </w:p>
        </w:tc>
      </w:tr>
    </w:tbl>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w:t>
      </w: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成都市新都区第三人民医院</w:t>
      </w:r>
    </w:p>
    <w:p>
      <w:pP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2021年1月15日</w:t>
      </w:r>
    </w:p>
    <w:sectPr>
      <w:pgSz w:w="11906" w:h="16838"/>
      <w:pgMar w:top="1984" w:right="1531" w:bottom="1166"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14A2D-6410-4AE3-B96C-76E9319660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D3A70B43-4C99-4A5D-9275-620462791191}"/>
  </w:font>
  <w:font w:name="方正仿宋简体">
    <w:panose1 w:val="03000509000000000000"/>
    <w:charset w:val="86"/>
    <w:family w:val="auto"/>
    <w:pitch w:val="default"/>
    <w:sig w:usb0="00000001" w:usb1="080E0000" w:usb2="00000000" w:usb3="00000000" w:csb0="00040000" w:csb1="00000000"/>
    <w:embedRegular r:id="rId3" w:fontKey="{F819B5FD-17CA-4011-902C-55548CDECCF8}"/>
  </w:font>
  <w:font w:name="楷体">
    <w:panose1 w:val="02010609060101010101"/>
    <w:charset w:val="86"/>
    <w:family w:val="auto"/>
    <w:pitch w:val="default"/>
    <w:sig w:usb0="800002BF" w:usb1="38CF7CFA" w:usb2="00000016" w:usb3="00000000" w:csb0="00040001" w:csb1="00000000"/>
    <w:embedRegular r:id="rId4" w:fontKey="{3724F830-8DC0-4CF6-8C5A-8D408F37E05C}"/>
  </w:font>
  <w:font w:name="仿宋_GB2312">
    <w:panose1 w:val="02010609030101010101"/>
    <w:charset w:val="86"/>
    <w:family w:val="auto"/>
    <w:pitch w:val="default"/>
    <w:sig w:usb0="00000001" w:usb1="080E0000" w:usb2="00000000" w:usb3="00000000" w:csb0="00040000" w:csb1="00000000"/>
    <w:embedRegular r:id="rId5" w:fontKey="{F353ABF4-83F1-4B4E-A7FB-5962349AE6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2F350"/>
    <w:multiLevelType w:val="singleLevel"/>
    <w:tmpl w:val="9822F350"/>
    <w:lvl w:ilvl="0" w:tentative="0">
      <w:start w:val="3"/>
      <w:numFmt w:val="chineseCounting"/>
      <w:suff w:val="nothing"/>
      <w:lvlText w:val="%1、"/>
      <w:lvlJc w:val="left"/>
      <w:rPr>
        <w:rFonts w:hint="eastAsia"/>
      </w:rPr>
    </w:lvl>
  </w:abstractNum>
  <w:abstractNum w:abstractNumId="1">
    <w:nsid w:val="AACD5D6A"/>
    <w:multiLevelType w:val="singleLevel"/>
    <w:tmpl w:val="AACD5D6A"/>
    <w:lvl w:ilvl="0" w:tentative="0">
      <w:start w:val="2"/>
      <w:numFmt w:val="decimal"/>
      <w:suff w:val="space"/>
      <w:lvlText w:val="%1."/>
      <w:lvlJc w:val="left"/>
      <w:rPr>
        <w:rFonts w:hint="default"/>
        <w:color w:val="auto"/>
      </w:rPr>
    </w:lvl>
  </w:abstractNum>
  <w:abstractNum w:abstractNumId="2">
    <w:nsid w:val="C8743790"/>
    <w:multiLevelType w:val="singleLevel"/>
    <w:tmpl w:val="C8743790"/>
    <w:lvl w:ilvl="0" w:tentative="0">
      <w:start w:val="2"/>
      <w:numFmt w:val="chineseCounting"/>
      <w:suff w:val="nothing"/>
      <w:lvlText w:val="（%1）"/>
      <w:lvlJc w:val="left"/>
      <w:rPr>
        <w:rFonts w:hint="eastAsia"/>
        <w:color w:val="auto"/>
      </w:rPr>
    </w:lvl>
  </w:abstractNum>
  <w:abstractNum w:abstractNumId="3">
    <w:nsid w:val="D5B79539"/>
    <w:multiLevelType w:val="singleLevel"/>
    <w:tmpl w:val="D5B79539"/>
    <w:lvl w:ilvl="0" w:tentative="0">
      <w:start w:val="1"/>
      <w:numFmt w:val="decimal"/>
      <w:suff w:val="space"/>
      <w:lvlText w:val="%1."/>
      <w:lvlJc w:val="left"/>
    </w:lvl>
  </w:abstractNum>
  <w:abstractNum w:abstractNumId="4">
    <w:nsid w:val="E450D41C"/>
    <w:multiLevelType w:val="singleLevel"/>
    <w:tmpl w:val="E450D41C"/>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783D"/>
    <w:rsid w:val="159D783D"/>
    <w:rsid w:val="16A21973"/>
    <w:rsid w:val="212D7AF3"/>
    <w:rsid w:val="2B7F437B"/>
    <w:rsid w:val="2E654F85"/>
    <w:rsid w:val="32FB6351"/>
    <w:rsid w:val="337C1164"/>
    <w:rsid w:val="44E00379"/>
    <w:rsid w:val="4A1F523F"/>
    <w:rsid w:val="53A51CE7"/>
    <w:rsid w:val="5FE54760"/>
    <w:rsid w:val="6BAE0670"/>
    <w:rsid w:val="75F13348"/>
    <w:rsid w:val="7C440B5A"/>
    <w:rsid w:val="7E79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 w:type="character" w:customStyle="1" w:styleId="7">
    <w:name w:val="font41"/>
    <w:basedOn w:val="4"/>
    <w:qFormat/>
    <w:uiPriority w:val="0"/>
    <w:rPr>
      <w:rFonts w:hint="default" w:ascii="Times New Roman" w:hAnsi="Times New Roman" w:cs="Times New Roman"/>
      <w:color w:val="0000FF"/>
      <w:sz w:val="20"/>
      <w:szCs w:val="20"/>
      <w:u w:val="none"/>
    </w:rPr>
  </w:style>
  <w:style w:type="character" w:customStyle="1" w:styleId="8">
    <w:name w:val="font11"/>
    <w:basedOn w:val="4"/>
    <w:qFormat/>
    <w:uiPriority w:val="0"/>
    <w:rPr>
      <w:rFonts w:hint="eastAsia" w:ascii="宋体" w:hAnsi="宋体" w:eastAsia="宋体" w:cs="宋体"/>
      <w:color w:val="0000FF"/>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2020-09-17T03:26:00Z</dcterms:created>
  <dc:creator>ai.禟禟</dc:creator>
  <cp:lastModifiedBy>ai.禟禟</cp:lastModifiedBy>
  <cp:lastPrinted>2023-11-10T06:34:33Z</cp:lastPrinted>
  <dcterms:modified xsi:type="dcterms:W3CDTF">2023-11-10T06:34:46Z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