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成都市新都区第三人民医院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2020年医院财务预算报告</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2020年是成都市新都区第三人民医院高速发展，新大楼的投入使用，医院规模的扩大，医院各科室床位的增多，医疗器械的增多，医资力量的壮大，病源的增加，无疑促进成都市新都区第三人医院更好的发展，在医院的壮大的同时，更需要加强预算管理，根据政府会计准则，以及医院的财务制度的规定：医院要实行全面的预算管理，建立健全预算管理制度。在院长的领导下，我院加强对财务的监督和管理，全员的，全面的参与医院预算，开源节流，为我院进一步发展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一、2019预算执行情况分析</w:t>
      </w:r>
    </w:p>
    <w:p>
      <w:pPr>
        <w:numPr>
          <w:ilvl w:val="0"/>
          <w:numId w:val="0"/>
        </w:numPr>
        <w:outlineLvl w:val="1"/>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（一）收入方面</w:t>
      </w:r>
    </w:p>
    <w:p>
      <w:pPr>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  2019年全院实现医疗业务收入60941383.51元( 其中: 已实现药品收入16855429.7元),超2018年预算收入189567.85元,圆满完成收入目标。收入药占比为25.97%（除中药饮片外药品收入）。门急诊疗269177人次,同比增长13.92%。出院病人7994人次,较上年同期增加26.43%。2019年门急诊人次和出院人次，较上年同期都有较大的增长。2019年医院较好的完成了预算，在2020年需进一步提高医院竞争力，健全完善医院各项制度，提高医疗服务水平，树立良好的医院形象，打造特色科室，提高医院核心竞争力，更好地为服务于患者，才能更好地扩大病源，提高医疗收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40" w:leftChars="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 xml:space="preserve"> 2019年财政补助经费59019281.76元,较上年同期增加117.26%元，其中项目支出补助收入17788073.76元。</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140" w:leftChars="0" w:firstLine="0" w:firstLineChars="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 xml:space="preserve"> 2019年医院总收入为123502745.23元。</w:t>
      </w:r>
    </w:p>
    <w:p>
      <w:pPr>
        <w:numPr>
          <w:ilvl w:val="0"/>
          <w:numId w:val="2"/>
        </w:numPr>
        <w:outlineLvl w:val="1"/>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支出方面</w:t>
      </w:r>
    </w:p>
    <w:p>
      <w:pPr>
        <w:keepNext w:val="0"/>
        <w:keepLines w:val="0"/>
        <w:pageBreakBefore w:val="0"/>
        <w:widowControl/>
        <w:kinsoku/>
        <w:wordWrap/>
        <w:overflowPunct/>
        <w:topLinePunct w:val="0"/>
        <w:autoSpaceDE/>
        <w:autoSpaceDN/>
        <w:bidi w:val="0"/>
        <w:adjustRightInd/>
        <w:snapToGrid/>
        <w:spacing w:line="460" w:lineRule="exact"/>
        <w:ind w:firstLine="280" w:firstLineChars="100"/>
        <w:textAlignment w:val="auto"/>
        <w:outlineLvl w:val="9"/>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2019年总支出115073451.95元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2"/>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1.财政拨款经费2019年支出60169370.15元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2"/>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2.业务支出2019年元64850559.5（不含财政拨款）,其中:</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2.1  医疗业务成本2019年支出 57885269.894802.5元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default"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2.2  管理费用2019年支出6907226.59元</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方正仿宋简体" w:hAnsi="方正仿宋简体" w:eastAsia="方正仿宋简体" w:cs="方正仿宋简体"/>
          <w:color w:val="auto"/>
          <w:sz w:val="28"/>
          <w:szCs w:val="28"/>
          <w:lang w:val="en-US" w:eastAsia="zh-CN" w:bidi="ar-SA"/>
        </w:rPr>
      </w:pPr>
      <w:r>
        <w:rPr>
          <w:rFonts w:hint="eastAsia" w:ascii="方正仿宋简体" w:hAnsi="方正仿宋简体" w:eastAsia="方正仿宋简体" w:cs="方正仿宋简体"/>
          <w:color w:val="auto"/>
          <w:sz w:val="28"/>
          <w:szCs w:val="28"/>
          <w:lang w:val="en-US" w:eastAsia="zh-CN" w:bidi="ar-SA"/>
        </w:rPr>
        <w:t>2.3 其他支出2019年支出 58063.02</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bidi="ar-SA"/>
        </w:rPr>
        <w:t>2.4 2019年医疗业务成本，管理费用，其他支出都在预算范围内，且小于预算，医院成本控制较好，应继续保持。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二、收入预算的编制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根据国家医改政策的指导思想。结合我院建设规划的要求，考虑医疗服务价格调整及其他影响因素，2020年计划业务收入达到</w:t>
      </w: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83871739.58</w:t>
      </w:r>
      <w:r>
        <w:rPr>
          <w:rFonts w:hint="eastAsia" w:ascii="方正仿宋简体" w:hAnsi="方正仿宋简体" w:eastAsia="方正仿宋简体" w:cs="方正仿宋简体"/>
          <w:color w:val="auto"/>
          <w:sz w:val="28"/>
          <w:szCs w:val="28"/>
          <w:lang w:val="en-US" w:eastAsia="zh-CN"/>
        </w:rPr>
        <w:t>元，业务收入与药品收入比例控制在30%以内，财政补助收入在2019年的基础上递增35%。</w:t>
      </w:r>
      <w:bookmarkStart w:id="0" w:name="_GoBack"/>
      <w:bookmarkEnd w:id="0"/>
    </w:p>
    <w:p>
      <w:pPr>
        <w:numPr>
          <w:ilvl w:val="0"/>
          <w:numId w:val="3"/>
        </w:numPr>
        <w:outlineLvl w:val="1"/>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收入预算编制的依据：</w:t>
      </w:r>
    </w:p>
    <w:p>
      <w:pPr>
        <w:numPr>
          <w:ilvl w:val="0"/>
          <w:numId w:val="4"/>
        </w:numPr>
        <w:outlineLvl w:val="2"/>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 xml:space="preserve"> 门诊收入基础数据表</w:t>
      </w:r>
    </w:p>
    <w:tbl>
      <w:tblPr>
        <w:tblStyle w:val="3"/>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05"/>
        <w:gridCol w:w="1815"/>
        <w:gridCol w:w="223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5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项目</w:t>
            </w:r>
          </w:p>
        </w:tc>
        <w:tc>
          <w:tcPr>
            <w:tcW w:w="190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门诊收入</w:t>
            </w: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（万元）</w:t>
            </w:r>
          </w:p>
        </w:tc>
        <w:tc>
          <w:tcPr>
            <w:tcW w:w="181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门诊人</w:t>
            </w: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次</w:t>
            </w:r>
          </w:p>
        </w:tc>
        <w:tc>
          <w:tcPr>
            <w:tcW w:w="223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每诊次费用（元）</w:t>
            </w:r>
          </w:p>
        </w:tc>
        <w:tc>
          <w:tcPr>
            <w:tcW w:w="1740"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收入药占比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56" w:type="dxa"/>
            <w:vAlign w:val="top"/>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201</w:t>
            </w: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8</w:t>
            </w:r>
          </w:p>
        </w:tc>
        <w:tc>
          <w:tcPr>
            <w:tcW w:w="19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2893.15</w:t>
            </w:r>
          </w:p>
        </w:tc>
        <w:tc>
          <w:tcPr>
            <w:tcW w:w="181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236287</w:t>
            </w:r>
          </w:p>
        </w:tc>
        <w:tc>
          <w:tcPr>
            <w:tcW w:w="2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122.44</w:t>
            </w:r>
          </w:p>
        </w:tc>
        <w:tc>
          <w:tcPr>
            <w:tcW w:w="17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56" w:type="dxa"/>
          </w:tcPr>
          <w:p>
            <w:pPr>
              <w:jc w:val="left"/>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2019</w:t>
            </w:r>
          </w:p>
        </w:tc>
        <w:tc>
          <w:tcPr>
            <w:tcW w:w="190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3383.53</w:t>
            </w:r>
          </w:p>
        </w:tc>
        <w:tc>
          <w:tcPr>
            <w:tcW w:w="181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269177</w:t>
            </w:r>
          </w:p>
        </w:tc>
        <w:tc>
          <w:tcPr>
            <w:tcW w:w="22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125.7</w:t>
            </w:r>
          </w:p>
        </w:tc>
        <w:tc>
          <w:tcPr>
            <w:tcW w:w="174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5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增长率</w:t>
            </w:r>
          </w:p>
        </w:tc>
        <w:tc>
          <w:tcPr>
            <w:tcW w:w="190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16.95%</w:t>
            </w:r>
          </w:p>
        </w:tc>
        <w:tc>
          <w:tcPr>
            <w:tcW w:w="181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13.92%</w:t>
            </w:r>
          </w:p>
        </w:tc>
        <w:tc>
          <w:tcPr>
            <w:tcW w:w="22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2.66%</w:t>
            </w:r>
          </w:p>
        </w:tc>
        <w:tc>
          <w:tcPr>
            <w:tcW w:w="174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9.9%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由上表分析可见：门诊收入增长16.95%，门诊人次增加13.92%，门诊次均费用略有增长。同时，收入药占比增加9.9%，主要是医疗业务收入增长较大，门诊病人增多。</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jc w:val="left"/>
        <w:textAlignment w:val="auto"/>
        <w:outlineLvl w:val="2"/>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 xml:space="preserve"> 住院收入及工作量情况</w:t>
      </w:r>
    </w:p>
    <w:tbl>
      <w:tblPr>
        <w:tblStyle w:val="3"/>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75"/>
        <w:gridCol w:w="1125"/>
        <w:gridCol w:w="1395"/>
        <w:gridCol w:w="1335"/>
        <w:gridCol w:w="156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0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项目</w:t>
            </w:r>
          </w:p>
        </w:tc>
        <w:tc>
          <w:tcPr>
            <w:tcW w:w="137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住院收入（万元）</w:t>
            </w:r>
          </w:p>
        </w:tc>
        <w:tc>
          <w:tcPr>
            <w:tcW w:w="112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平均住院日</w:t>
            </w:r>
          </w:p>
        </w:tc>
        <w:tc>
          <w:tcPr>
            <w:tcW w:w="139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每床日费用</w:t>
            </w:r>
          </w:p>
        </w:tc>
        <w:tc>
          <w:tcPr>
            <w:tcW w:w="1335"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出院人数</w:t>
            </w:r>
          </w:p>
        </w:tc>
        <w:tc>
          <w:tcPr>
            <w:tcW w:w="1560"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每住院人次平均费用</w:t>
            </w:r>
          </w:p>
        </w:tc>
        <w:tc>
          <w:tcPr>
            <w:tcW w:w="1065" w:type="dxa"/>
          </w:tcPr>
          <w:p>
            <w:pPr>
              <w:jc w:val="left"/>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06" w:type="dxa"/>
            <w:vAlign w:val="top"/>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2018年</w:t>
            </w:r>
          </w:p>
        </w:tc>
        <w:tc>
          <w:tcPr>
            <w:tcW w:w="137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1699.01</w:t>
            </w:r>
          </w:p>
        </w:tc>
        <w:tc>
          <w:tcPr>
            <w:tcW w:w="112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7.3</w:t>
            </w:r>
          </w:p>
        </w:tc>
        <w:tc>
          <w:tcPr>
            <w:tcW w:w="1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375.70</w:t>
            </w:r>
          </w:p>
        </w:tc>
        <w:tc>
          <w:tcPr>
            <w:tcW w:w="13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6323</w:t>
            </w:r>
          </w:p>
        </w:tc>
        <w:tc>
          <w:tcPr>
            <w:tcW w:w="156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2687.04</w:t>
            </w:r>
          </w:p>
        </w:tc>
        <w:tc>
          <w:tcPr>
            <w:tcW w:w="10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45223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2019年</w:t>
            </w:r>
          </w:p>
        </w:tc>
        <w:tc>
          <w:tcPr>
            <w:tcW w:w="137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2710.61</w:t>
            </w:r>
          </w:p>
        </w:tc>
        <w:tc>
          <w:tcPr>
            <w:tcW w:w="112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7.26</w:t>
            </w:r>
          </w:p>
        </w:tc>
        <w:tc>
          <w:tcPr>
            <w:tcW w:w="1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467.23</w:t>
            </w:r>
          </w:p>
        </w:tc>
        <w:tc>
          <w:tcPr>
            <w:tcW w:w="13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7994</w:t>
            </w:r>
          </w:p>
        </w:tc>
        <w:tc>
          <w:tcPr>
            <w:tcW w:w="1560" w:type="dxa"/>
            <w:vAlign w:val="center"/>
          </w:tcPr>
          <w:p>
            <w:pPr>
              <w:keepNext w:val="0"/>
              <w:keepLines w:val="0"/>
              <w:widowControl/>
              <w:suppressLineNumbers w:val="0"/>
              <w:jc w:val="left"/>
              <w:textAlignment w:val="center"/>
              <w:rPr>
                <w:rFonts w:hint="default" w:asciiTheme="minorEastAsia" w:hAnsi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3390.81</w:t>
            </w:r>
          </w:p>
        </w:tc>
        <w:tc>
          <w:tcPr>
            <w:tcW w:w="1065" w:type="dxa"/>
            <w:vAlign w:val="center"/>
          </w:tcPr>
          <w:p>
            <w:pPr>
              <w:keepNext w:val="0"/>
              <w:keepLines w:val="0"/>
              <w:widowControl/>
              <w:suppressLineNumbers w:val="0"/>
              <w:jc w:val="left"/>
              <w:textAlignment w:val="center"/>
              <w:rPr>
                <w:rFonts w:hint="default" w:asciiTheme="minorEastAsia" w:hAnsi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58014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6" w:type="dxa"/>
          </w:tcPr>
          <w:p>
            <w:pPr>
              <w:jc w:val="left"/>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增长率</w:t>
            </w:r>
          </w:p>
        </w:tc>
        <w:tc>
          <w:tcPr>
            <w:tcW w:w="137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59.54%</w:t>
            </w:r>
          </w:p>
        </w:tc>
        <w:tc>
          <w:tcPr>
            <w:tcW w:w="112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-0.59%</w:t>
            </w:r>
          </w:p>
        </w:tc>
        <w:tc>
          <w:tcPr>
            <w:tcW w:w="1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24.36%</w:t>
            </w:r>
          </w:p>
        </w:tc>
        <w:tc>
          <w:tcPr>
            <w:tcW w:w="133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26.43%</w:t>
            </w:r>
          </w:p>
        </w:tc>
        <w:tc>
          <w:tcPr>
            <w:tcW w:w="1560"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26.91%</w:t>
            </w:r>
          </w:p>
        </w:tc>
        <w:tc>
          <w:tcPr>
            <w:tcW w:w="1065" w:type="dxa"/>
            <w:vAlign w:val="center"/>
          </w:tcPr>
          <w:p>
            <w:pPr>
              <w:keepNext w:val="0"/>
              <w:keepLines w:val="0"/>
              <w:widowControl/>
              <w:suppressLineNumbers w:val="0"/>
              <w:jc w:val="left"/>
              <w:textAlignment w:val="center"/>
              <w:rPr>
                <w:rFonts w:hint="default" w:asciiTheme="minorEastAsia" w:hAnsi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28.3%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由上表分析可见：2019年较2018年住院收入增长率高达59.54%，住院要是由以下几方面原因所致：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2.1  每床床日费用增长24.36%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2.2  病人出院人数增长26.43%</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2.3  每住院人次平均费用增长26.91%</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2.4  占用床日数增长28.3%</w:t>
      </w:r>
    </w:p>
    <w:p>
      <w:pPr>
        <w:numPr>
          <w:ilvl w:val="0"/>
          <w:numId w:val="0"/>
        </w:numPr>
        <w:outlineLvl w:val="1"/>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（二） 2020年门诊收入的影响因素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1.  2020年新大楼已经使用，医院接纳病人扩容量的增加，设备的增加，医疗环境的大幅度提高，有利于增加门诊病源。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  如果2020年医疗服务收费价格调整，有利于医院医疗业务收入的增长。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3. 城镇职工，城镇居民参保病员的进一步增加，病源的持续扩大化，有利于门诊人次的增加。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both"/>
        <w:textAlignment w:val="auto"/>
        <w:outlineLvl w:val="9"/>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4.  医院配套设施的优化，医疗团队的提高，医疗服务理念的加强，都有利于树立医院的良好的形象，增加病源，提高门诊收入。</w:t>
      </w: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outlineLvl w:val="1"/>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（三）2020年住院收入的影响因素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城镇职工，城乡居民参保病员增加，导致住院人数增加，临床科室医务人员应严格“三基培训”提高医疗技术水平和为患者服务的满意度。2020年新大楼开始使用，床位的增加，医护人员的增加，都利于容纳更多的住院病人，加上2020年医院扩大招人，医资力量的进一步壮大，收治的病源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在本预算中占用床日数按28.3%的增长率测算;如果床位费、护理费、医疗服务收费等价格调增,对每床日费用增长有一定的推动作用;控制收入药占比会降低每床日费用,从而对收入增长起到抵减作用。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另外,医疗政策的重大调整、物价因素、突发疫情、激励方案等都将会对收入增长产生较大的影响。</w:t>
      </w:r>
    </w:p>
    <w:p>
      <w:pPr>
        <w:numPr>
          <w:ilvl w:val="0"/>
          <w:numId w:val="0"/>
        </w:numPr>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收入预算见下表:</w:t>
      </w:r>
    </w:p>
    <w:p>
      <w:pPr>
        <w:numPr>
          <w:ilvl w:val="0"/>
          <w:numId w:val="0"/>
        </w:numPr>
        <w:ind w:firstLine="3080" w:firstLineChars="1100"/>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p>
    <w:p>
      <w:pPr>
        <w:numPr>
          <w:ilvl w:val="0"/>
          <w:numId w:val="0"/>
        </w:numPr>
        <w:ind w:firstLine="3080" w:firstLineChars="1100"/>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2020年收入预算</w:t>
      </w:r>
    </w:p>
    <w:p>
      <w:pPr>
        <w:numPr>
          <w:ilvl w:val="0"/>
          <w:numId w:val="0"/>
        </w:numPr>
        <w:ind w:firstLine="7280" w:firstLineChars="2600"/>
        <w:jc w:val="left"/>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单位：元</w:t>
      </w:r>
    </w:p>
    <w:tbl>
      <w:tblPr>
        <w:tblStyle w:val="2"/>
        <w:tblW w:w="88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3"/>
        <w:gridCol w:w="1995"/>
        <w:gridCol w:w="4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项    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预算金额</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编制依据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一、财政补助收入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val="en-US" w:eastAsia="zh-CN" w:bidi="ar-SA"/>
              </w:rPr>
              <w:t>71140150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0" w:firstLineChars="1000"/>
              <w:jc w:val="both"/>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二、门诊收入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40623254.38 </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269177人次×116.95%×125.7元×102.66%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其中: 医疗收入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34123533.68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门诊收入的84</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药品收入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6499720.7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Style w:val="5"/>
                <w:color w:val="000000" w:themeColor="text1"/>
                <w:lang w:val="en-US" w:eastAsia="zh-CN" w:bidi="ar"/>
                <w14:textFill>
                  <w14:solidFill>
                    <w14:schemeClr w14:val="tx1"/>
                  </w14:solidFill>
                </w14:textFill>
              </w:rPr>
              <w:t>收入药占比按16</w:t>
            </w:r>
            <w:r>
              <w:rPr>
                <w:rStyle w:val="6"/>
                <w:rFonts w:eastAsia="宋体"/>
                <w:color w:val="000000" w:themeColor="text1"/>
                <w:lang w:val="en-US" w:eastAsia="zh-CN" w:bidi="ar"/>
                <w14:textFill>
                  <w14:solidFill>
                    <w14:schemeClr w14:val="tx1"/>
                  </w14:solidFill>
                </w14:textFill>
              </w:rPr>
              <w:t>%</w:t>
            </w:r>
            <w:r>
              <w:rPr>
                <w:rStyle w:val="5"/>
                <w:color w:val="000000" w:themeColor="text1"/>
                <w:lang w:val="en-US" w:eastAsia="zh-CN" w:bidi="ar"/>
                <w14:textFill>
                  <w14:solidFill>
                    <w14:schemeClr w14:val="tx1"/>
                  </w14:solidFill>
                </w14:textFill>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三、住院收入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43248485.2 </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58014住院床日×128.3%×467.23元/床日×124.36%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其中: 医疗收入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30706424.49</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住院收入的71</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药品收入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12542060.71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收入药占比按29</w:t>
            </w: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四、其他收入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312050.57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FF"/>
                <w:kern w:val="0"/>
                <w:sz w:val="22"/>
                <w:szCs w:val="22"/>
                <w:u w:val="none"/>
                <w:lang w:val="en-US" w:eastAsia="zh-CN" w:bidi="ar"/>
              </w:rPr>
            </w:pPr>
            <w:r>
              <w:rPr>
                <w:rStyle w:val="5"/>
                <w:rFonts w:hint="eastAsia"/>
                <w:color w:val="000000" w:themeColor="text1"/>
                <w:lang w:val="en-US" w:eastAsia="zh-CN" w:bidi="ar"/>
                <w14:textFill>
                  <w14:solidFill>
                    <w14:schemeClr w14:val="tx1"/>
                  </w14:solidFill>
                </w14:textFill>
              </w:rPr>
              <w:t>在2018</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年的基础上递增20%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155323940.2</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注：（一）预算收入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一：财政收入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1：预计2020年财政基本收入：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预计2020年在职人员日常经费及人员经费为1811.05万元（其中不包含2020年预计新增的15名在职人员），按照预计的在职人员的70%做2020年财政基本补助收入预算1267.7万元。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2：预计2020年财政项目补助收入：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还本付息1558万元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default"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t>固定资产因医院新大楼的修建，规模扩大，各科室对设备需求量大，预计购入固定资产2850万元（其中：专用设备预计2500万，其中包括重点专科设备预计投入167.7万，通用设备预计280万，家具等预计70万）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医院信息建设预计购进信息系统等无形资产，手术麻醉系统45万元，PDA4.8万元，互联网医院系统110万元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融资租赁8184800元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中期评估600万元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引进人才激励资金100万元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default"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药品零加成30万元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二：门诊收入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1：预算在2020年门诊收入40623254.38元（2019年门诊人次261177人，2019年门诊人次增幅为16.95%，2019年每次费用为125.7元，2019年每次费用增幅为2.66%）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2：门诊医疗收入为34123533.68元，按预计门诊收入的84%计算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3：门诊药品收入为6499720.7元，按预计门诊收入的16%计算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三：住院收入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1：预计在2020年住院收入为43248485.2元（2019年住院床日数为58014,2019年住院床日数增幅为28.3%，2019年每床日费用为467.23元，2019年每床日增幅为24.3%）</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2：住院医疗收入为30706424.49，按预计住院收入的71%计算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楷体" w:hAnsi="楷体" w:eastAsia="楷体" w:cs="楷体"/>
          <w:color w:val="0000FF"/>
          <w:sz w:val="28"/>
          <w:szCs w:val="28"/>
          <w:lang w:val="en-US" w:eastAsia="zh-CN"/>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3：住院药品收入为312050.57元，按预计住院收入的29%计算</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jc w:val="both"/>
        <w:textAlignment w:val="auto"/>
        <w:outlineLvl w:val="0"/>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支出预算的编制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（一）预算的原则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1. 目标一致性原则。预算必须与医院目标相一致各级预算必须服从于医院的战略目标和经营目标。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2. 全面性原则。一切生产经营活动全部纳入预算管理,做到全员参与、全面覆盖。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3. 适度性原则。遵循实事求是的原则,防止低估或高估预算目标,保证预算在执行过程中切实可行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4. 分级预算原则。各科室对各自归口的业务做预算并对预算编制负责,医院对各科室予以监控审批。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5. 上下结合原则。自上而下分解目标,自下而上编制预算。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6. 不调整原则。预算一旦确定,没有审批,不予调整,以保证预算的严肃性与合法性。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 xml:space="preserve">（二）  </w:t>
      </w: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根据2020年医院工作计划,结和我院实际,本年度预算首先确保临床开展医疗业务活动所需资金;在收入稳步增长的基础上,合理为职工参加医疗保险和职工互助保险等福利待遇;对新技术应用所产生的效益予以适当的奖励，新大楼的使用，各科室的建设，包括科室医疗器械的完善，科室基本设备设备的完善，是本年预算支出的主要目标，按照政府会计准则等规定提取医疗风险基金，防范医疗风险，控制日常公用和行政后勤开展，最大限度的节约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lang w:val="en-US" w:eastAsia="zh-CN"/>
          <w14:textFill>
            <w14:solidFill>
              <w14:schemeClr w14:val="tx1"/>
            </w14:solidFill>
          </w14:textFill>
        </w:rPr>
        <w:t>（三）医疗业务支出（详见附表）: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t xml:space="preserve">1. </w:t>
      </w: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 xml:space="preserve"> 2019年下半年因搬入新大楼新增固定资产，2019年12月固定资产折旧为1027591.12元，在2020年计划购入2850万元固定资产（其中：专用设备预计2500万，其中包括重点专科设备预计投入167.7万，通用设备预计280万，家具等预计70万），折旧费按6个月每月新增215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default"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t>2.  2019年还本付息2776万，2020年还本付息1558万，预计其他商品服务支付为1970万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t>3.  提取医疗风险基金:按医院医疗收入的3‰提取编制。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4.  租赁费</w:t>
      </w:r>
      <w:r>
        <w:rPr>
          <w:rFonts w:hint="eastAsia" w:ascii="方正仿宋简体" w:hAnsi="方正仿宋简体" w:eastAsia="方正仿宋简体" w:cs="方正仿宋简体"/>
          <w:color w:val="000000" w:themeColor="text1"/>
          <w:sz w:val="28"/>
          <w:szCs w:val="28"/>
          <w:highlight w:val="none"/>
          <w:lang w:val="en-US" w:eastAsia="zh-CN"/>
          <w14:textFill>
            <w14:solidFill>
              <w14:schemeClr w14:val="tx1"/>
            </w14:solidFill>
          </w14:textFill>
        </w:rPr>
        <w:t>：医院于2019年9月使用液氧罐用氧，液氧费用相对降低，每月需支付液氧罐租金2000元。目前医院租摆绿化植物约4万元/年，绿化维护还属于建筑方维护阶段，明年将交由医院负责，医院拟对园区绿化维护管理进行外包约5万元/年，共计需要绿化管理及租摆植物费用为9万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8"/>
          <w:szCs w:val="28"/>
          <w:lang w:val="en-US" w:eastAsia="zh-CN"/>
          <w14:textFill>
            <w14:solidFill>
              <w14:schemeClr w14:val="tx1"/>
            </w14:solidFill>
          </w14:textFill>
        </w:rPr>
        <w:t>5.劳务费：手术室维修5万，检验科维修6万，供应室维修10万，医疗垃圾暂存间维修30万，污水处理站维修50万，净化系统空调系统外包服务60万，劳务派遣服务350万，水电外包45万，门诊楼改造80万。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9"/>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6.其他公用支出:按照上年度支出适当增加编制。包括行政支出、物业管理费用、差旅费、培训费和其他支出等。</w:t>
      </w:r>
    </w:p>
    <w:tbl>
      <w:tblPr>
        <w:tblStyle w:val="2"/>
        <w:tblW w:w="850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60"/>
        <w:gridCol w:w="1513"/>
        <w:gridCol w:w="1142"/>
        <w:gridCol w:w="1050"/>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50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2020年预算金额</w:t>
            </w:r>
          </w:p>
        </w:tc>
        <w:tc>
          <w:tcPr>
            <w:tcW w:w="114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2019年金额</w:t>
            </w:r>
          </w:p>
        </w:tc>
        <w:tc>
          <w:tcPr>
            <w:tcW w:w="10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较2019年增幅比列</w:t>
            </w:r>
          </w:p>
        </w:tc>
        <w:tc>
          <w:tcPr>
            <w:tcW w:w="35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一、人员经费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41302500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36522137.15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41302500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36522137.15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在职100人，聘用210人，新增专技人员50人（在职15人，聘用40人）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4080000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3909167.23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在职人员100人*3200*12+15人*3200*5核算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229500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100人*180*12月+新增15人*180*5月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7180843.08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与收入增长比例相关，按100人*6000*12+15人*6000*5核算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事业单位基本养老保险缴费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1147500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100人*900*12月+新增15人*900*5月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573750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100人*450*12月+新增15人*450*5月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637500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100人*500*12月+新增15人*500*5月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318750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100人*250*12月+新增15人*250*5月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1147500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100人*900*12月+新增15人*900*5月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25320000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21030097.61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专技聘用人员210人*8万+新增40人*6000元*5+夜班等其他补助12万+聘用补助1.5万/人及在职补助3万/人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379833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退休18人生活补助1.1万/人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二、日常公用经费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1：商品和服务支出</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72348494.53</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37507270.61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93%</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37295.985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74591.97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2019年因二甲创建办公费较高，预计2020年减少一半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87856.78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175713.56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2019年因二甲创建印刷费较高，预计2020年减少一半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247390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3138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2765.32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2020年每个季度支票544.5元，短信费20元一个月，银行年费440元，变更费280元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273600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176453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2019年搬新大楼后水费增加，以2019年12月的水费22800元为基础，预计2020年水费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1347281.16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1109069.31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2019年搬新大楼后电费增加，以2019年12月的水费112273.43元为基础，预计2020年电费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113508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2019年搬新大楼后邮电费增加，以2019年12月的水费9459元为基础，预计2020年电费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3826756.7</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1540350.2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合同，2020年付款门诊物业服务73.6万，住院大楼物业服务127.17567万，特勤保安管理服务费74万，污水处理站运营托管16万，收费室外包服务28.8万，水电维保服务15.8万，消防系统维保服务4.8万，中央空调及净化系统运维服务42.5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79736.25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72487.5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731574.27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医院新建住院大楼在修建中赶工严重，且总包方严重不负责任，目前医院零星维修费用支出偏多，预计2020年约50万元,其他维修费预计30万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于2019年9月使用液氧罐用氧，液氧费用相对降低，每月需支付液氧罐租金2000元。目前医院租摆绿化植物约4万元/年，绿化维护还属于建筑方维护阶段，明年将交由医院负责，医院拟对园区绿化维护管理进行外包约5万元/年，共计需要绿化管理及租摆植物费用为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43401.6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313578.76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285071.6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133478.07</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121343.7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劳务费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kern w:val="0"/>
                <w:sz w:val="20"/>
                <w:szCs w:val="20"/>
                <w:u w:val="none"/>
                <w:lang w:val="en-US" w:eastAsia="zh-CN" w:bidi="ar"/>
              </w:rPr>
            </w:pPr>
            <w:r>
              <w:rPr>
                <w:rFonts w:hint="eastAsia" w:ascii="宋体" w:hAnsi="宋体" w:eastAsia="宋体" w:cs="宋体"/>
                <w:b w:val="0"/>
                <w:bCs w:val="0"/>
                <w:i w:val="0"/>
                <w:color w:val="auto"/>
                <w:kern w:val="0"/>
                <w:sz w:val="20"/>
                <w:szCs w:val="20"/>
                <w:u w:val="none"/>
                <w:lang w:val="en-US" w:eastAsia="zh-CN" w:bidi="ar"/>
              </w:rPr>
              <w:t>6360000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1287802.51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val="0"/>
                <w:bCs w:val="0"/>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394%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b w:val="0"/>
                <w:bCs w:val="0"/>
                <w:i w:val="0"/>
                <w:color w:val="auto"/>
                <w:sz w:val="20"/>
                <w:szCs w:val="20"/>
                <w:u w:val="none"/>
                <w:lang w:val="en-US"/>
              </w:rPr>
            </w:pPr>
            <w:r>
              <w:rPr>
                <w:rFonts w:hint="eastAsia" w:ascii="宋体" w:hAnsi="宋体" w:eastAsia="宋体" w:cs="宋体"/>
                <w:b w:val="0"/>
                <w:bCs w:val="0"/>
                <w:i w:val="0"/>
                <w:color w:val="auto"/>
                <w:kern w:val="0"/>
                <w:sz w:val="20"/>
                <w:szCs w:val="20"/>
                <w:u w:val="none"/>
                <w:lang w:val="en-US" w:eastAsia="zh-CN" w:bidi="ar"/>
              </w:rPr>
              <w:t>手术室维修5万，检验科维修6万，供应室维修10万，医疗垃圾暂存间维修30万，污水处理站维修50万，净化系统空调系统外包服务60万，劳务派遣服务350万，水电外包45万，门诊楼改造80万。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576000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508766.48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按职工收入的2%计提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221215.225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201104.75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低值易耗品</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86338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43169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因新大楼的投入使用，低值易耗品在2020年的基础上增加一倍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21120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57662800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30455501.16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2019年还本付息2776万，2020年还本付息1558万，预计其他商品服务支付为1970万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2：固定资产折旧</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25231093.44</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4330457.49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483%</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2019年下半年因搬入新大楼新增固定资产，2019年12月固定资产折旧为1027591.12元，在2020年计划购入2850万元固定资产（其中：专用设备预计2500万，其中包括重点专科设备预计投入167.7万，通用设备预计280万，家具等预计70万），折旧费按6个月每月新增215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3：无形资产摊销</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226656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-173333.34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2020年无形资产合同每月折旧为18888元，2020年预计新增信息系统（维护费及PDA，手术麻醉系统等）101.5万，互联网医院系统110元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4：提取医疗风险基金</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251615.22</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182824.15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按收入的千分之三来确定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5：卫生材料费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11515134.36</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10468303.96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6：药品费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17935757.05</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16305233.68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7：其他材料费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2238861.218</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2035328.38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预计在2019年基础上增加10%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1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p>
        </w:tc>
        <w:tc>
          <w:tcPr>
            <w:tcW w:w="114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6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w:t>
      </w:r>
    </w:p>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成都市新都区第三人民医院</w:t>
      </w:r>
    </w:p>
    <w:p>
      <w:pP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2020年1月15日</w:t>
      </w:r>
    </w:p>
    <w:sectPr>
      <w:pgSz w:w="11906" w:h="16838"/>
      <w:pgMar w:top="1984"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51A005-CBC5-417D-B239-1612E157B4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A1EDD5B7-175B-4593-8928-DEEBB1296F63}"/>
  </w:font>
  <w:font w:name="方正仿宋简体">
    <w:panose1 w:val="03000509000000000000"/>
    <w:charset w:val="86"/>
    <w:family w:val="auto"/>
    <w:pitch w:val="default"/>
    <w:sig w:usb0="00000001" w:usb1="080E0000" w:usb2="00000000" w:usb3="00000000" w:csb0="00040000" w:csb1="00000000"/>
    <w:embedRegular r:id="rId3" w:fontKey="{28D95127-EE9B-483D-B023-F36AA0FEBB41}"/>
  </w:font>
  <w:font w:name="楷体">
    <w:panose1 w:val="02010609060101010101"/>
    <w:charset w:val="86"/>
    <w:family w:val="auto"/>
    <w:pitch w:val="default"/>
    <w:sig w:usb0="800002BF" w:usb1="38CF7CFA" w:usb2="00000016" w:usb3="00000000" w:csb0="00040001" w:csb1="00000000"/>
    <w:embedRegular r:id="rId4" w:fontKey="{78933F80-1E7F-4CA8-9B13-FAB3CE655DCF}"/>
  </w:font>
  <w:font w:name="仿宋_GB2312">
    <w:panose1 w:val="02010609030101010101"/>
    <w:charset w:val="86"/>
    <w:family w:val="auto"/>
    <w:pitch w:val="default"/>
    <w:sig w:usb0="00000001" w:usb1="080E0000" w:usb2="00000000" w:usb3="00000000" w:csb0="00040000" w:csb1="00000000"/>
    <w:embedRegular r:id="rId5" w:fontKey="{258EF3C5-FE2D-4D68-BC5D-DE453D893F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2F350"/>
    <w:multiLevelType w:val="singleLevel"/>
    <w:tmpl w:val="9822F350"/>
    <w:lvl w:ilvl="0" w:tentative="0">
      <w:start w:val="3"/>
      <w:numFmt w:val="chineseCounting"/>
      <w:suff w:val="nothing"/>
      <w:lvlText w:val="%1、"/>
      <w:lvlJc w:val="left"/>
      <w:rPr>
        <w:rFonts w:hint="eastAsia"/>
      </w:rPr>
    </w:lvl>
  </w:abstractNum>
  <w:abstractNum w:abstractNumId="1">
    <w:nsid w:val="AACD5D6A"/>
    <w:multiLevelType w:val="singleLevel"/>
    <w:tmpl w:val="AACD5D6A"/>
    <w:lvl w:ilvl="0" w:tentative="0">
      <w:start w:val="2"/>
      <w:numFmt w:val="decimal"/>
      <w:suff w:val="space"/>
      <w:lvlText w:val="%1."/>
      <w:lvlJc w:val="left"/>
      <w:rPr>
        <w:rFonts w:hint="default"/>
        <w:color w:val="auto"/>
      </w:rPr>
    </w:lvl>
  </w:abstractNum>
  <w:abstractNum w:abstractNumId="2">
    <w:nsid w:val="C8743790"/>
    <w:multiLevelType w:val="singleLevel"/>
    <w:tmpl w:val="C8743790"/>
    <w:lvl w:ilvl="0" w:tentative="0">
      <w:start w:val="2"/>
      <w:numFmt w:val="chineseCounting"/>
      <w:suff w:val="nothing"/>
      <w:lvlText w:val="（%1）"/>
      <w:lvlJc w:val="left"/>
      <w:rPr>
        <w:rFonts w:hint="eastAsia"/>
        <w:color w:val="auto"/>
      </w:rPr>
    </w:lvl>
  </w:abstractNum>
  <w:abstractNum w:abstractNumId="3">
    <w:nsid w:val="D5B79539"/>
    <w:multiLevelType w:val="singleLevel"/>
    <w:tmpl w:val="D5B79539"/>
    <w:lvl w:ilvl="0" w:tentative="0">
      <w:start w:val="1"/>
      <w:numFmt w:val="decimal"/>
      <w:suff w:val="space"/>
      <w:lvlText w:val="%1."/>
      <w:lvlJc w:val="left"/>
    </w:lvl>
  </w:abstractNum>
  <w:abstractNum w:abstractNumId="4">
    <w:nsid w:val="E450D41C"/>
    <w:multiLevelType w:val="singleLevel"/>
    <w:tmpl w:val="E450D41C"/>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783D"/>
    <w:rsid w:val="129D263F"/>
    <w:rsid w:val="159D783D"/>
    <w:rsid w:val="16A21973"/>
    <w:rsid w:val="18EE353B"/>
    <w:rsid w:val="193A1CC9"/>
    <w:rsid w:val="212D7AF3"/>
    <w:rsid w:val="2B7F437B"/>
    <w:rsid w:val="2E654F85"/>
    <w:rsid w:val="32FB6351"/>
    <w:rsid w:val="44E00379"/>
    <w:rsid w:val="53A51CE7"/>
    <w:rsid w:val="59704629"/>
    <w:rsid w:val="5FE54760"/>
    <w:rsid w:val="5FF510A2"/>
    <w:rsid w:val="6BAE0670"/>
    <w:rsid w:val="75E644D5"/>
    <w:rsid w:val="75F13348"/>
    <w:rsid w:val="7C0D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0"/>
      <w:szCs w:val="20"/>
      <w:u w:val="none"/>
    </w:rPr>
  </w:style>
  <w:style w:type="character" w:customStyle="1" w:styleId="6">
    <w:name w:val="font2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2020-09-17T03:26:00Z</dcterms:created>
  <dc:creator>ai.禟禟</dc:creator>
  <cp:lastModifiedBy>ai.禟禟</cp:lastModifiedBy>
  <cp:lastPrinted>2023-11-10T06:11:00Z</cp:lastPrinted>
  <dcterms:modified xsi:type="dcterms:W3CDTF">2023-11-10T06:34:55Z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