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bookmarkEnd w:id="0"/>
      <w:r>
        <w:rPr>
          <w:rFonts w:hint="eastAsia" w:ascii="方正小标宋简体" w:hAnsi="方正小标宋简体" w:eastAsia="方正小标宋简体" w:cs="方正小标宋简体"/>
          <w:sz w:val="44"/>
          <w:szCs w:val="44"/>
          <w:highlight w:val="none"/>
          <w:lang w:val="en-US" w:eastAsia="zh-CN"/>
        </w:rPr>
        <w:t>成都市新都区第三人民医院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2019年医院财务预算报告</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outlineLvl w:val="9"/>
        <w:rPr>
          <w:rFonts w:hint="eastAsia" w:ascii="方正仿宋简体" w:hAnsi="方正仿宋简体" w:eastAsia="方正仿宋简体" w:cs="方正仿宋简体"/>
          <w:color w:val="0000FF"/>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2019年是成都市新都区第三人民医院更进一步的铺垫之年，二甲的创建，医院新大楼的使用，医院规模的扩大，医资力量的壮大，有不断地促进成都市新都区第三人医院更好的发展，医院的壮大，更需要加强预算管理，根据医院财务制度的规定：医院要实行全面的预算管理，建立健全预算管理制度。在与院长的领导下，我院加强对财务的监督和管理，全员的，全面的参与医院预算，开源节流，为我院进一步发展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一、2018预算执行情况分析</w:t>
      </w:r>
    </w:p>
    <w:p>
      <w:pPr>
        <w:numPr>
          <w:ilvl w:val="0"/>
          <w:numId w:val="0"/>
        </w:numPr>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（一）收入方面</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1.  2018年全院实现医疗业务收入45921664.09元( 其中: 已实现药品收入10352332.29元),超2018年预算收入12052829.32元,圆满完成收入目标。收入药占比为22%,已结较好的控制在25%以内。门急诊疗236287人次,同比增长6.86%。出院病人6323人次,较上年同期增加4.08%。2018年门急诊人次和出院人次，较上年同期都有所增长。2018年医院较好的完成了预算，在2019年需进一步树立提高自身实力，提高医院竞争力，建立健全医院制度，提高医疗服务水平，树立良好的医院形象，打造特色科室，提高医院核心竞争力，更好地为服务于患者，才能更好地扩大病源，提高医疗收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40"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 xml:space="preserve"> 2018年财政补助经费27164673.23元,低于2017年预算财政补助7525949.02元，其中基本支出补助13,605,493.23元，项目支出补助收入 13,559,180.00元。</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40" w:leftChars="0" w:firstLine="0" w:firstLine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 xml:space="preserve"> 2018年医院总收入为73,346,379.46元。</w:t>
      </w:r>
    </w:p>
    <w:p>
      <w:pPr>
        <w:numPr>
          <w:ilvl w:val="0"/>
          <w:numId w:val="2"/>
        </w:numPr>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支出方面</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sz w:val="28"/>
          <w:szCs w:val="28"/>
          <w:highlight w:val="none"/>
          <w:lang w:val="en-US" w:eastAsia="zh-CN" w:bidi="ar-SA"/>
        </w:rPr>
      </w:pPr>
      <w:r>
        <w:rPr>
          <w:rFonts w:hint="eastAsia" w:ascii="方正仿宋简体" w:hAnsi="方正仿宋简体" w:eastAsia="方正仿宋简体" w:cs="方正仿宋简体"/>
          <w:sz w:val="28"/>
          <w:szCs w:val="28"/>
          <w:highlight w:val="none"/>
          <w:lang w:val="en-US" w:eastAsia="zh-CN" w:bidi="ar-SA"/>
        </w:rPr>
        <w:t>2018年总支出7041.3万元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sz w:val="28"/>
          <w:szCs w:val="28"/>
          <w:highlight w:val="none"/>
          <w:lang w:val="en-US" w:eastAsia="zh-CN" w:bidi="ar-SA"/>
        </w:rPr>
      </w:pPr>
      <w:r>
        <w:rPr>
          <w:rFonts w:hint="eastAsia" w:ascii="方正仿宋简体" w:hAnsi="方正仿宋简体" w:eastAsia="方正仿宋简体" w:cs="方正仿宋简体"/>
          <w:sz w:val="28"/>
          <w:szCs w:val="28"/>
          <w:highlight w:val="none"/>
          <w:lang w:val="en-US" w:eastAsia="zh-CN" w:bidi="ar-SA"/>
        </w:rPr>
        <w:t>1.财政补助专项2018年支出1355.92万元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sz w:val="28"/>
          <w:szCs w:val="28"/>
          <w:highlight w:val="none"/>
          <w:lang w:val="en-US" w:eastAsia="zh-CN" w:bidi="ar-SA"/>
        </w:rPr>
      </w:pPr>
      <w:r>
        <w:rPr>
          <w:rFonts w:hint="eastAsia" w:ascii="方正仿宋简体" w:hAnsi="方正仿宋简体" w:eastAsia="方正仿宋简体" w:cs="方正仿宋简体"/>
          <w:sz w:val="28"/>
          <w:szCs w:val="28"/>
          <w:highlight w:val="none"/>
          <w:lang w:val="en-US" w:eastAsia="zh-CN" w:bidi="ar-SA"/>
        </w:rPr>
        <w:t>2.业务支出2018年 5678.1万元,2018年度预算安排5763.89 万元,占年度预算安排的99%,其中:</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sz w:val="28"/>
          <w:szCs w:val="28"/>
          <w:highlight w:val="none"/>
          <w:lang w:val="en-US" w:eastAsia="zh-CN" w:bidi="ar-SA"/>
        </w:rPr>
      </w:pPr>
      <w:r>
        <w:rPr>
          <w:rFonts w:hint="eastAsia" w:ascii="方正仿宋简体" w:hAnsi="方正仿宋简体" w:eastAsia="方正仿宋简体" w:cs="方正仿宋简体"/>
          <w:sz w:val="28"/>
          <w:szCs w:val="28"/>
          <w:highlight w:val="none"/>
          <w:lang w:val="en-US" w:eastAsia="zh-CN" w:bidi="ar-SA"/>
        </w:rPr>
        <w:t>2.1  医疗业务成本2018年支出4802.5万元,2018年度预算安排4837.43 万元,占2018年预算安排的99%;</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sz w:val="28"/>
          <w:szCs w:val="28"/>
          <w:highlight w:val="none"/>
          <w:lang w:val="en-US" w:eastAsia="zh-CN" w:bidi="ar-SA"/>
        </w:rPr>
      </w:pPr>
      <w:r>
        <w:rPr>
          <w:rFonts w:hint="eastAsia" w:ascii="方正仿宋简体" w:hAnsi="方正仿宋简体" w:eastAsia="方正仿宋简体" w:cs="方正仿宋简体"/>
          <w:sz w:val="28"/>
          <w:szCs w:val="28"/>
          <w:highlight w:val="none"/>
          <w:lang w:val="en-US" w:eastAsia="zh-CN" w:bidi="ar-SA"/>
        </w:rPr>
        <w:t>2.2  管理费用2018年支出875.6万元,2018年度预算安排 926.5万元,占2018年预算安排的95%</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sz w:val="28"/>
          <w:szCs w:val="28"/>
          <w:highlight w:val="none"/>
          <w:lang w:val="en-US" w:eastAsia="zh-CN" w:bidi="ar-SA"/>
        </w:rPr>
      </w:pPr>
      <w:r>
        <w:rPr>
          <w:rFonts w:hint="eastAsia" w:ascii="方正仿宋简体" w:hAnsi="方正仿宋简体" w:eastAsia="方正仿宋简体" w:cs="方正仿宋简体"/>
          <w:sz w:val="28"/>
          <w:szCs w:val="28"/>
          <w:highlight w:val="none"/>
          <w:lang w:val="en-US" w:eastAsia="zh-CN" w:bidi="ar-SA"/>
        </w:rPr>
        <w:t>2.3 其他支出2018年上半年支出 7.3万元,2018年度预算安排10万元,占2018年总预算安排的73%</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bidi="ar-SA"/>
        </w:rPr>
        <w:t>2.4  2018年医疗业务成本，管理费用，其他支出都在预算范围内，且小于预算，医院成本控制较好，应继续保持。</w:t>
      </w:r>
    </w:p>
    <w:p>
      <w:pPr>
        <w:numPr>
          <w:ilvl w:val="0"/>
          <w:numId w:val="0"/>
        </w:numPr>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（三）业务收支结余：</w:t>
      </w:r>
    </w:p>
    <w:p>
      <w:pPr>
        <w:numPr>
          <w:ilvl w:val="0"/>
          <w:numId w:val="0"/>
        </w:numPr>
        <w:ind w:left="-3" w:leftChars="-237" w:hanging="495" w:hangingChars="177"/>
        <w:jc w:val="both"/>
        <w:rPr>
          <w:rFonts w:hint="eastAsia" w:ascii="仿宋_GB2312" w:hAnsi="仿宋_GB2312" w:eastAsia="仿宋_GB2312" w:cs="仿宋_GB2312"/>
          <w:sz w:val="32"/>
          <w:szCs w:val="32"/>
          <w:highlight w:val="none"/>
          <w:lang w:val="en-US" w:eastAsia="zh-CN"/>
        </w:rPr>
      </w:pPr>
      <w:r>
        <w:rPr>
          <w:rFonts w:hint="eastAsia" w:ascii="方正仿宋简体" w:hAnsi="方正仿宋简体" w:eastAsia="方正仿宋简体" w:cs="方正仿宋简体"/>
          <w:sz w:val="28"/>
          <w:szCs w:val="28"/>
          <w:highlight w:val="none"/>
          <w:lang w:val="en-US" w:eastAsia="zh-CN"/>
        </w:rPr>
        <w:t>2018年全年结余2,933,066.30元，可以用于结余分配以及结余结转</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二、收入预算的编制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方正仿宋简体" w:hAnsi="方正仿宋简体" w:eastAsia="方正仿宋简体" w:cs="方正仿宋简体"/>
          <w:color w:val="5B9BD5" w:themeColor="accent1"/>
          <w:sz w:val="28"/>
          <w:szCs w:val="28"/>
          <w:highlight w:val="none"/>
          <w:lang w:val="en-US" w:eastAsia="zh-CN"/>
          <w14:textFill>
            <w14:solidFill>
              <w14:schemeClr w14:val="accent1"/>
            </w14:solidFill>
          </w14:textFill>
        </w:rPr>
      </w:pPr>
      <w:r>
        <w:rPr>
          <w:rFonts w:hint="eastAsia" w:ascii="方正仿宋简体" w:hAnsi="方正仿宋简体" w:eastAsia="方正仿宋简体" w:cs="方正仿宋简体"/>
          <w:color w:val="auto"/>
          <w:sz w:val="28"/>
          <w:szCs w:val="28"/>
          <w:highlight w:val="none"/>
          <w:lang w:val="en-US" w:eastAsia="zh-CN"/>
        </w:rPr>
        <w:t>根据国家医改政策的指导思想。结合我院建设规划的要求，考虑医疗服务价格调整及其他影响因素，2019年计划业务收入达到64,011,857.80 元，业务收入与药品收入比例控制在30%以内，财政补助收入参照2018年水平。</w:t>
      </w:r>
    </w:p>
    <w:p>
      <w:pPr>
        <w:numPr>
          <w:ilvl w:val="0"/>
          <w:numId w:val="3"/>
        </w:numPr>
        <w:rPr>
          <w:rFonts w:hint="eastAsia" w:ascii="方正仿宋简体" w:hAnsi="方正仿宋简体" w:eastAsia="方正仿宋简体" w:cs="方正仿宋简体"/>
          <w:sz w:val="28"/>
          <w:szCs w:val="28"/>
          <w:highlight w:val="none"/>
          <w:lang w:val="en-US" w:eastAsia="zh-CN"/>
        </w:rPr>
      </w:pPr>
      <w:r>
        <w:rPr>
          <w:rFonts w:hint="eastAsia" w:ascii="楷体" w:hAnsi="楷体" w:eastAsia="楷体" w:cs="楷体"/>
          <w:sz w:val="28"/>
          <w:szCs w:val="28"/>
          <w:highlight w:val="none"/>
          <w:lang w:val="en-US" w:eastAsia="zh-CN"/>
        </w:rPr>
        <w:t>收入预算编制的依据：</w:t>
      </w:r>
    </w:p>
    <w:p>
      <w:pPr>
        <w:numPr>
          <w:ilvl w:val="0"/>
          <w:numId w:val="4"/>
        </w:numPr>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 xml:space="preserve"> 门诊收入基础数据表</w:t>
      </w:r>
    </w:p>
    <w:tbl>
      <w:tblPr>
        <w:tblStyle w:val="3"/>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05"/>
        <w:gridCol w:w="1815"/>
        <w:gridCol w:w="223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56"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项目</w:t>
            </w:r>
          </w:p>
        </w:tc>
        <w:tc>
          <w:tcPr>
            <w:tcW w:w="1905"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门诊收入</w:t>
            </w:r>
            <w:r>
              <w:rPr>
                <w:rFonts w:hint="eastAsia" w:asciiTheme="minorEastAsia" w:hAnsiTheme="minorEastAsia" w:cstheme="minorEastAsia"/>
                <w:sz w:val="24"/>
                <w:szCs w:val="24"/>
                <w:highlight w:val="none"/>
                <w:vertAlign w:val="baseline"/>
                <w:lang w:val="en-US" w:eastAsia="zh-CN"/>
              </w:rPr>
              <w:t>（万元）</w:t>
            </w:r>
          </w:p>
        </w:tc>
        <w:tc>
          <w:tcPr>
            <w:tcW w:w="1815"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门诊人</w:t>
            </w:r>
            <w:r>
              <w:rPr>
                <w:rFonts w:hint="eastAsia" w:asciiTheme="minorEastAsia" w:hAnsiTheme="minorEastAsia" w:cstheme="minorEastAsia"/>
                <w:sz w:val="24"/>
                <w:szCs w:val="24"/>
                <w:highlight w:val="none"/>
                <w:vertAlign w:val="baseline"/>
                <w:lang w:val="en-US" w:eastAsia="zh-CN"/>
              </w:rPr>
              <w:t>次</w:t>
            </w:r>
          </w:p>
        </w:tc>
        <w:tc>
          <w:tcPr>
            <w:tcW w:w="2235"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每诊次费用（元）</w:t>
            </w:r>
          </w:p>
        </w:tc>
        <w:tc>
          <w:tcPr>
            <w:tcW w:w="1740"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收入药占比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56" w:type="dxa"/>
            <w:vAlign w:val="top"/>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2017</w:t>
            </w:r>
          </w:p>
        </w:tc>
        <w:tc>
          <w:tcPr>
            <w:tcW w:w="19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2380.023</w:t>
            </w:r>
          </w:p>
        </w:tc>
        <w:tc>
          <w:tcPr>
            <w:tcW w:w="18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221113</w:t>
            </w:r>
          </w:p>
        </w:tc>
        <w:tc>
          <w:tcPr>
            <w:tcW w:w="2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107.64</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56"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201</w:t>
            </w:r>
            <w:r>
              <w:rPr>
                <w:rFonts w:hint="eastAsia" w:asciiTheme="minorEastAsia" w:hAnsiTheme="minorEastAsia" w:cstheme="minorEastAsia"/>
                <w:sz w:val="24"/>
                <w:szCs w:val="24"/>
                <w:highlight w:val="none"/>
                <w:vertAlign w:val="baseline"/>
                <w:lang w:val="en-US" w:eastAsia="zh-CN"/>
              </w:rPr>
              <w:t>8</w:t>
            </w:r>
          </w:p>
        </w:tc>
        <w:tc>
          <w:tcPr>
            <w:tcW w:w="19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2893.153</w:t>
            </w:r>
          </w:p>
        </w:tc>
        <w:tc>
          <w:tcPr>
            <w:tcW w:w="18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236287</w:t>
            </w:r>
          </w:p>
        </w:tc>
        <w:tc>
          <w:tcPr>
            <w:tcW w:w="2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122.44</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56"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增长率</w:t>
            </w:r>
          </w:p>
        </w:tc>
        <w:tc>
          <w:tcPr>
            <w:tcW w:w="19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21.56%</w:t>
            </w:r>
          </w:p>
        </w:tc>
        <w:tc>
          <w:tcPr>
            <w:tcW w:w="18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6.86%</w:t>
            </w:r>
          </w:p>
        </w:tc>
        <w:tc>
          <w:tcPr>
            <w:tcW w:w="2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13.75%</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-6.3%</w:t>
            </w:r>
          </w:p>
        </w:tc>
      </w:tr>
    </w:tbl>
    <w:p>
      <w:pPr>
        <w:rPr>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由上表分析可见：门诊收入增长1.99%，门诊人次不增反降，导致门诊次均费用上涨。同时，收入药占比下降12.10%，收入结构改善较大。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简体" w:hAnsi="方正仿宋简体" w:eastAsia="方正仿宋简体" w:cs="方正仿宋简体"/>
          <w:sz w:val="28"/>
          <w:szCs w:val="28"/>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jc w:val="left"/>
        <w:textAlignment w:val="auto"/>
        <w:outlineLvl w:val="9"/>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 xml:space="preserve"> 住院收入及工作量情况</w:t>
      </w:r>
    </w:p>
    <w:tbl>
      <w:tblPr>
        <w:tblStyle w:val="3"/>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995"/>
        <w:gridCol w:w="1634"/>
        <w:gridCol w:w="1426"/>
        <w:gridCol w:w="135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06"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项目</w:t>
            </w:r>
          </w:p>
        </w:tc>
        <w:tc>
          <w:tcPr>
            <w:tcW w:w="1995"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住院收入（万元）</w:t>
            </w:r>
          </w:p>
        </w:tc>
        <w:tc>
          <w:tcPr>
            <w:tcW w:w="1634"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占用床日数</w:t>
            </w:r>
          </w:p>
        </w:tc>
        <w:tc>
          <w:tcPr>
            <w:tcW w:w="1426"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每床日费用</w:t>
            </w:r>
          </w:p>
        </w:tc>
        <w:tc>
          <w:tcPr>
            <w:tcW w:w="1350"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出院人数</w:t>
            </w:r>
          </w:p>
        </w:tc>
        <w:tc>
          <w:tcPr>
            <w:tcW w:w="1425"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收入药占比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6" w:type="dxa"/>
            <w:vAlign w:val="top"/>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2017年</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941.44</w:t>
            </w:r>
          </w:p>
        </w:tc>
        <w:tc>
          <w:tcPr>
            <w:tcW w:w="16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37959</w:t>
            </w:r>
          </w:p>
        </w:tc>
        <w:tc>
          <w:tcPr>
            <w:tcW w:w="14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249.06</w:t>
            </w:r>
          </w:p>
        </w:tc>
        <w:tc>
          <w:tcPr>
            <w:tcW w:w="13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6075</w:t>
            </w:r>
          </w:p>
        </w:tc>
        <w:tc>
          <w:tcPr>
            <w:tcW w:w="14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6"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2018年</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1699.01</w:t>
            </w:r>
          </w:p>
        </w:tc>
        <w:tc>
          <w:tcPr>
            <w:tcW w:w="16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45223</w:t>
            </w:r>
          </w:p>
        </w:tc>
        <w:tc>
          <w:tcPr>
            <w:tcW w:w="14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375.70</w:t>
            </w:r>
          </w:p>
        </w:tc>
        <w:tc>
          <w:tcPr>
            <w:tcW w:w="13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6323</w:t>
            </w:r>
          </w:p>
        </w:tc>
        <w:tc>
          <w:tcPr>
            <w:tcW w:w="1425" w:type="dxa"/>
            <w:vAlign w:val="center"/>
          </w:tcPr>
          <w:p>
            <w:pPr>
              <w:keepNext w:val="0"/>
              <w:keepLines w:val="0"/>
              <w:widowControl/>
              <w:suppressLineNumbers w:val="0"/>
              <w:jc w:val="left"/>
              <w:textAlignment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6" w:type="dxa"/>
          </w:tcPr>
          <w:p>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增长率</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80.47%</w:t>
            </w:r>
          </w:p>
        </w:tc>
        <w:tc>
          <w:tcPr>
            <w:tcW w:w="16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19.14%</w:t>
            </w:r>
          </w:p>
        </w:tc>
        <w:tc>
          <w:tcPr>
            <w:tcW w:w="14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50.85%</w:t>
            </w:r>
          </w:p>
        </w:tc>
        <w:tc>
          <w:tcPr>
            <w:tcW w:w="13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4.08%</w:t>
            </w:r>
          </w:p>
        </w:tc>
        <w:tc>
          <w:tcPr>
            <w:tcW w:w="14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宋体"/>
                <w:i w:val="0"/>
                <w:color w:val="000000"/>
                <w:kern w:val="0"/>
                <w:sz w:val="22"/>
                <w:szCs w:val="22"/>
                <w:highlight w:val="none"/>
                <w:u w:val="none"/>
                <w:lang w:val="en-US" w:eastAsia="zh-CN" w:bidi="ar"/>
              </w:rPr>
              <w:t>-12.23%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由上表分析可见：2018年较2017年住院收入增长率高达80.47%，住院要是由以下几方面原因所致：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2.1  占用床日数增长19.14%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2.2  每床床日费用增长50.85%。</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2.3  收治住院病人与增长4.08%。</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2.4  药占比同比下降12.23%。</w:t>
      </w:r>
    </w:p>
    <w:p>
      <w:pPr>
        <w:numPr>
          <w:ilvl w:val="0"/>
          <w:numId w:val="0"/>
        </w:numPr>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（二） 2019年门诊收入的影响因素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1.  预计2019年新大楼开始使用，医院接纳病人扩容量的增加，设备的增加，医疗环境的大幅度提高，有利于增加门诊病源。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2.  如果2019年医疗服务收费价格调整，有利于医院医疗业务收入的增长。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3. 城镇职工，城镇居民参保病员的进一步增加，病源的持续扩大化，有利于门诊人次的增加。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Theme="minorEastAsia" w:hAnsiTheme="minorEastAsia" w:cstheme="minorEastAsia"/>
          <w:color w:val="4472C4" w:themeColor="accent5"/>
          <w:sz w:val="30"/>
          <w:szCs w:val="30"/>
          <w:highlight w:val="none"/>
          <w:lang w:val="en-US" w:eastAsia="zh-CN"/>
          <w14:textFill>
            <w14:solidFill>
              <w14:schemeClr w14:val="accent5"/>
            </w14:solidFill>
          </w14:textFill>
        </w:rPr>
      </w:pPr>
      <w:r>
        <w:rPr>
          <w:rFonts w:hint="eastAsia" w:ascii="方正仿宋简体" w:hAnsi="方正仿宋简体" w:eastAsia="方正仿宋简体" w:cs="方正仿宋简体"/>
          <w:color w:val="auto"/>
          <w:sz w:val="28"/>
          <w:szCs w:val="28"/>
          <w:highlight w:val="none"/>
          <w:lang w:val="en-US" w:eastAsia="zh-CN"/>
        </w:rPr>
        <w:t>4.  医院配套设施的优化，医疗团队的提高，医疗服务理念的加强，都有利于树立医院的良好的形象，增加病源，提高门诊收入。</w:t>
      </w:r>
      <w:r>
        <w:rPr>
          <w:rFonts w:hint="eastAsia" w:asciiTheme="minorEastAsia" w:hAnsiTheme="minorEastAsia" w:cstheme="minorEastAsia"/>
          <w:color w:val="4472C4" w:themeColor="accent5"/>
          <w:sz w:val="30"/>
          <w:szCs w:val="30"/>
          <w:highlight w:val="none"/>
          <w:lang w:val="en-US" w:eastAsia="zh-CN"/>
          <w14:textFill>
            <w14:solidFill>
              <w14:schemeClr w14:val="accent5"/>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outlineLvl w:val="9"/>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（三）2019年住院收入的影响因素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城镇职工，城乡居民参保病员增加，导致住院人数增加，临床科室医务人员应严格“三基培训”提高医疗技术水平和为患者服务的满意度。2019年预计开始使用新大楼，床位的增加，医护人员的增加，都利于容纳更多的住院病人，加上2019年预计引进专家人才，医资力量的进一步壮大，收治的病源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在本预算中占用床日数按40%的增长率测算;如果床位费、护理费、医疗服务收费等价格调增,对每床日费用增长有一定的推动作用;控制收入药占比会降低每床日费用,从而对收入增长起到抵减作用。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另外,医疗政策的重大调整、物价因素、突发疫情、激励方案等都将会对收入增长产生较大的影响。</w:t>
      </w:r>
    </w:p>
    <w:p>
      <w:pPr>
        <w:numPr>
          <w:ilvl w:val="0"/>
          <w:numId w:val="0"/>
        </w:numPr>
        <w:jc w:val="left"/>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收入预算见下表:</w:t>
      </w:r>
    </w:p>
    <w:p>
      <w:pPr>
        <w:numPr>
          <w:ilvl w:val="0"/>
          <w:numId w:val="0"/>
        </w:numPr>
        <w:ind w:firstLine="3080" w:firstLineChars="1100"/>
        <w:jc w:val="left"/>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2019年收入预算</w:t>
      </w:r>
    </w:p>
    <w:p>
      <w:pPr>
        <w:numPr>
          <w:ilvl w:val="0"/>
          <w:numId w:val="0"/>
        </w:numPr>
        <w:ind w:firstLine="7280" w:firstLineChars="2600"/>
        <w:jc w:val="left"/>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单位：元</w:t>
      </w:r>
    </w:p>
    <w:tbl>
      <w:tblPr>
        <w:tblStyle w:val="2"/>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36"/>
        <w:gridCol w:w="2001"/>
        <w:gridCol w:w="4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项    目</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预算金额</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编制依据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一、财政补助收入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62,609,958.68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参照上年水平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二、门诊收入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35,266,864.96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236287人次×120%×122.44元×106%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其中: 医疗收入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29,624,166.57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门诊收入的84</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highlight w:val="none"/>
                <w:u w:val="none"/>
                <w:lang w:val="en-US" w:eastAsia="zh-CN" w:bidi="ar"/>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药品收入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5,642,698.39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Style w:val="5"/>
                <w:highlight w:val="none"/>
                <w:lang w:val="en-US" w:eastAsia="zh-CN" w:bidi="ar"/>
              </w:rPr>
              <w:t>收入药占比按16</w:t>
            </w:r>
            <w:r>
              <w:rPr>
                <w:rStyle w:val="6"/>
                <w:rFonts w:eastAsia="宋体"/>
                <w:highlight w:val="none"/>
                <w:lang w:val="en-US" w:eastAsia="zh-CN" w:bidi="ar"/>
              </w:rPr>
              <w:t>%</w:t>
            </w:r>
            <w:r>
              <w:rPr>
                <w:rStyle w:val="5"/>
                <w:highlight w:val="none"/>
                <w:lang w:val="en-US" w:eastAsia="zh-CN" w:bidi="ar"/>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三、住院收入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25,484,950.70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45233住院床日×140%×375.61元/床日×120%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其中: 医疗收入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18,094,314.99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住院收入的71</w:t>
            </w:r>
            <w:r>
              <w:rPr>
                <w:rFonts w:hint="default" w:ascii="Times New Roman" w:hAnsi="Times New Roman" w:eastAsia="宋体" w:cs="Times New Roman"/>
                <w:i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药品收入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7,390,635.70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收入药占比按29</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highlight w:val="none"/>
                <w:u w:val="none"/>
                <w:lang w:val="en-US" w:eastAsia="zh-CN" w:bidi="ar"/>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四、其他收入</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3,260,042.14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与上年持平（增加区卫计局拨款300万）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合计</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126,621,816.48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楷体" w:hAnsi="楷体" w:eastAsia="楷体" w:cs="楷体"/>
          <w:sz w:val="28"/>
          <w:szCs w:val="28"/>
          <w:highlight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jc w:val="both"/>
        <w:textAlignment w:val="auto"/>
        <w:rPr>
          <w:rFonts w:hint="eastAsia" w:ascii="楷体" w:hAnsi="楷体" w:eastAsia="楷体" w:cs="楷体"/>
          <w:sz w:val="28"/>
          <w:szCs w:val="28"/>
          <w:highlight w:val="none"/>
          <w:lang w:val="en-US" w:eastAsia="zh-CN"/>
        </w:rPr>
      </w:pPr>
      <w:r>
        <w:rPr>
          <w:rFonts w:hint="eastAsia" w:ascii="黑体" w:hAnsi="黑体" w:eastAsia="黑体" w:cs="黑体"/>
          <w:sz w:val="28"/>
          <w:szCs w:val="28"/>
          <w:highlight w:val="none"/>
          <w:lang w:val="en-US" w:eastAsia="zh-CN"/>
        </w:rPr>
        <w:t>支出预算的编制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（一）预算的原则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1. 目标一致性原则。预算必须与医院目标相一致各级预算必须服从于医院的战略目标和经营目标。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2. 全面性原则。一切生产经营活动全部纳入预算管理,做到全员参与、全面覆盖。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3. 适度性原则。遵循实事求是的原则,防止低估或高估预算目标,保证预算在执行过程中切实可行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4. 分级预算原则。各科室对各自归口的业务做预算并对预算编制负责,医院对各科室予以监控审批。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5. 上下结合原则。自上而下分解目标,自下而上编制预算。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6. 不调整原则。预算一旦确定,没有审批,不予调整,以保证预算的严肃性与合法性。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28"/>
          <w:szCs w:val="28"/>
          <w:highlight w:val="none"/>
          <w:lang w:val="en-US" w:eastAsia="zh-CN"/>
        </w:rPr>
        <w:t xml:space="preserve">（二）  </w:t>
      </w:r>
      <w:r>
        <w:rPr>
          <w:rFonts w:hint="eastAsia" w:ascii="方正仿宋简体" w:hAnsi="方正仿宋简体" w:eastAsia="方正仿宋简体" w:cs="方正仿宋简体"/>
          <w:color w:val="auto"/>
          <w:sz w:val="28"/>
          <w:szCs w:val="28"/>
          <w:highlight w:val="none"/>
          <w:lang w:val="en-US" w:eastAsia="zh-CN"/>
        </w:rPr>
        <w:t>根据2018年医院工作计划,结和我院实际,本年度预算首先确保临床开展医疗业务活动所需资金;在收入稳步增长的基础上,合理为职工参加医疗保险和职工互助保险等福利待遇;对新技术应用所产生的效益予以适当的奖励，信息化建设预算安排，是本年内建设医院门诊医生工作站为主要目标，按照医院会计制度规定提取医疗风险基金，防范医疗风险，控制日常公用和行政后勤开展，最大限度的节约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sz w:val="28"/>
          <w:szCs w:val="28"/>
          <w:highlight w:val="none"/>
          <w:lang w:val="en-US" w:eastAsia="zh-CN"/>
        </w:rPr>
      </w:pPr>
      <w:r>
        <w:rPr>
          <w:rFonts w:hint="eastAsia" w:ascii="楷体" w:hAnsi="楷体" w:eastAsia="楷体" w:cs="楷体"/>
          <w:sz w:val="28"/>
          <w:szCs w:val="28"/>
          <w:highlight w:val="none"/>
          <w:lang w:val="en-US" w:eastAsia="zh-CN"/>
        </w:rPr>
        <w:t>（三）医疗业出支出:</w:t>
      </w:r>
      <w:r>
        <w:rPr>
          <w:rFonts w:hint="eastAsia" w:ascii="仿宋_GB2312" w:hAnsi="仿宋_GB2312" w:eastAsia="仿宋_GB2312" w:cs="仿宋_GB2312"/>
          <w:sz w:val="32"/>
          <w:szCs w:val="32"/>
          <w:highlight w:val="none"/>
          <w:lang w:val="en-US" w:eastAsia="zh-CN"/>
        </w:rPr>
        <w:br w:type="textWrapping"/>
      </w:r>
      <w:r>
        <w:rPr>
          <w:rFonts w:hint="eastAsia" w:ascii="方正仿宋简体" w:hAnsi="方正仿宋简体" w:eastAsia="方正仿宋简体" w:cs="方正仿宋简体"/>
          <w:sz w:val="28"/>
          <w:szCs w:val="28"/>
          <w:highlight w:val="none"/>
          <w:lang w:val="en-US" w:eastAsia="zh-CN"/>
        </w:rPr>
        <w:t>1.  人员支出:2019年根据增员增资情况,2019新增在职人员10人，新增聘用人员80人。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2.  药品支出:按上年决算以及本年实际情况西药11%，中草药20%递增</w:t>
      </w:r>
      <w:r>
        <w:rPr>
          <w:rFonts w:hint="eastAsia" w:ascii="方正仿宋简体" w:hAnsi="方正仿宋简体" w:eastAsia="方正仿宋简体" w:cs="方正仿宋简体"/>
          <w:sz w:val="28"/>
          <w:szCs w:val="28"/>
          <w:highlight w:val="none"/>
          <w:lang w:val="en-US" w:eastAsia="zh-CN"/>
        </w:rPr>
        <w:br w:type="textWrapping"/>
      </w:r>
      <w:r>
        <w:rPr>
          <w:rFonts w:hint="eastAsia" w:ascii="方正仿宋简体" w:hAnsi="方正仿宋简体" w:eastAsia="方正仿宋简体" w:cs="方正仿宋简体"/>
          <w:sz w:val="28"/>
          <w:szCs w:val="28"/>
          <w:highlight w:val="none"/>
          <w:lang w:val="en-US" w:eastAsia="zh-CN"/>
        </w:rPr>
        <w:t>3.  材料支出：按上年决算以及本年实际情况递增50%编制。</w:t>
      </w:r>
      <w:r>
        <w:rPr>
          <w:rFonts w:hint="eastAsia" w:ascii="方正仿宋简体" w:hAnsi="方正仿宋简体" w:eastAsia="方正仿宋简体" w:cs="方正仿宋简体"/>
          <w:sz w:val="28"/>
          <w:szCs w:val="28"/>
          <w:highlight w:val="none"/>
          <w:lang w:val="en-US" w:eastAsia="zh-CN"/>
        </w:rPr>
        <w:br w:type="textWrapping"/>
      </w:r>
      <w:r>
        <w:rPr>
          <w:rFonts w:hint="eastAsia" w:ascii="方正仿宋简体" w:hAnsi="方正仿宋简体" w:eastAsia="方正仿宋简体" w:cs="方正仿宋简体"/>
          <w:sz w:val="28"/>
          <w:szCs w:val="28"/>
          <w:highlight w:val="none"/>
          <w:lang w:val="en-US" w:eastAsia="zh-CN"/>
        </w:rPr>
        <w:t>4.  固定资产折旧费: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 xml:space="preserve">(1)住院大楼投入使用，购买设备增加，折旧费增加。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(2)：重点专科建设设备投入121.5万。</w:t>
      </w:r>
      <w:r>
        <w:rPr>
          <w:rFonts w:hint="eastAsia" w:ascii="方正仿宋简体" w:hAnsi="方正仿宋简体" w:eastAsia="方正仿宋简体" w:cs="方正仿宋简体"/>
          <w:sz w:val="28"/>
          <w:szCs w:val="28"/>
          <w:highlight w:val="none"/>
          <w:lang w:val="en-US" w:eastAsia="zh-CN"/>
        </w:rPr>
        <w:br w:type="textWrapping"/>
      </w:r>
      <w:r>
        <w:rPr>
          <w:rFonts w:hint="eastAsia" w:ascii="方正仿宋简体" w:hAnsi="方正仿宋简体" w:eastAsia="方正仿宋简体" w:cs="方正仿宋简体"/>
          <w:sz w:val="28"/>
          <w:szCs w:val="28"/>
          <w:highlight w:val="none"/>
          <w:lang w:val="en-US" w:eastAsia="zh-CN"/>
        </w:rPr>
        <w:t>5.  提取医疗风险基金:按医院医疗收入的3</w:t>
      </w:r>
      <w:r>
        <w:rPr>
          <w:rFonts w:hint="eastAsia" w:ascii="宋体" w:hAnsi="宋体" w:eastAsia="宋体" w:cs="宋体"/>
          <w:i w:val="0"/>
          <w:color w:val="auto"/>
          <w:kern w:val="0"/>
          <w:sz w:val="20"/>
          <w:szCs w:val="20"/>
          <w:highlight w:val="none"/>
          <w:u w:val="none"/>
          <w:lang w:val="en-US" w:eastAsia="zh-CN" w:bidi="ar"/>
        </w:rPr>
        <w:t>‰</w:t>
      </w:r>
      <w:r>
        <w:rPr>
          <w:rFonts w:hint="eastAsia" w:ascii="方正仿宋简体" w:hAnsi="方正仿宋简体" w:eastAsia="方正仿宋简体" w:cs="方正仿宋简体"/>
          <w:sz w:val="28"/>
          <w:szCs w:val="28"/>
          <w:highlight w:val="none"/>
          <w:lang w:val="en-US" w:eastAsia="zh-CN"/>
        </w:rPr>
        <w:t>提取编制。</w:t>
      </w:r>
      <w:r>
        <w:rPr>
          <w:rFonts w:hint="eastAsia" w:ascii="方正仿宋简体" w:hAnsi="方正仿宋简体" w:eastAsia="方正仿宋简体" w:cs="方正仿宋简体"/>
          <w:sz w:val="28"/>
          <w:szCs w:val="28"/>
          <w:highlight w:val="none"/>
          <w:lang w:val="en-US" w:eastAsia="zh-CN"/>
        </w:rPr>
        <w:br w:type="textWrapping"/>
      </w:r>
      <w:r>
        <w:rPr>
          <w:rFonts w:hint="eastAsia" w:ascii="方正仿宋简体" w:hAnsi="方正仿宋简体" w:eastAsia="方正仿宋简体" w:cs="方正仿宋简体"/>
          <w:sz w:val="28"/>
          <w:szCs w:val="28"/>
          <w:highlight w:val="none"/>
          <w:lang w:val="en-US" w:eastAsia="zh-CN"/>
        </w:rPr>
        <w:t>6.  其他公用支出:按照上年度支出适当增加编制。包括行政支出、物业管理费用、差旅费、培训费、劳务费和其他支出等。</w:t>
      </w:r>
      <w:r>
        <w:rPr>
          <w:rFonts w:hint="eastAsia" w:ascii="方正仿宋简体" w:hAnsi="方正仿宋简体" w:eastAsia="方正仿宋简体" w:cs="方正仿宋简体"/>
          <w:sz w:val="28"/>
          <w:szCs w:val="28"/>
          <w:highlight w:val="none"/>
          <w:lang w:val="en-US" w:eastAsia="zh-CN"/>
        </w:rPr>
        <w:br w:type="textWrapping"/>
      </w:r>
      <w:r>
        <w:rPr>
          <w:rFonts w:hint="eastAsia" w:ascii="楷体" w:hAnsi="楷体" w:eastAsia="楷体" w:cs="楷体"/>
          <w:sz w:val="28"/>
          <w:szCs w:val="28"/>
          <w:highlight w:val="none"/>
          <w:lang w:val="en-US" w:eastAsia="zh-CN"/>
        </w:rPr>
        <w:t>（四）管理费用支出</w:t>
      </w:r>
      <w:r>
        <w:rPr>
          <w:rFonts w:hint="eastAsia" w:ascii="方正仿宋简体" w:hAnsi="方正仿宋简体" w:eastAsia="方正仿宋简体" w:cs="方正仿宋简体"/>
          <w:sz w:val="28"/>
          <w:szCs w:val="28"/>
          <w:highlight w:val="none"/>
          <w:lang w:val="en-US" w:eastAsia="zh-CN"/>
        </w:rPr>
        <w:br w:type="textWrapping"/>
      </w:r>
      <w:r>
        <w:rPr>
          <w:rFonts w:hint="eastAsia" w:ascii="方正仿宋简体" w:hAnsi="方正仿宋简体" w:eastAsia="方正仿宋简体" w:cs="方正仿宋简体"/>
          <w:sz w:val="28"/>
          <w:szCs w:val="28"/>
          <w:highlight w:val="none"/>
          <w:lang w:val="en-US" w:eastAsia="zh-CN"/>
        </w:rPr>
        <w:t>1.  人员支出:2019年年根据增员增资情况,合本年实际按在职18人,聘用11人,退休20人情况编制。</w:t>
      </w:r>
      <w:r>
        <w:rPr>
          <w:rFonts w:hint="eastAsia" w:ascii="方正仿宋简体" w:hAnsi="方正仿宋简体" w:eastAsia="方正仿宋简体" w:cs="方正仿宋简体"/>
          <w:sz w:val="28"/>
          <w:szCs w:val="28"/>
          <w:highlight w:val="none"/>
          <w:lang w:val="en-US" w:eastAsia="zh-CN"/>
        </w:rPr>
        <w:br w:type="textWrapping"/>
      </w:r>
      <w:r>
        <w:rPr>
          <w:rFonts w:hint="eastAsia" w:ascii="方正仿宋简体" w:hAnsi="方正仿宋简体" w:eastAsia="方正仿宋简体" w:cs="方正仿宋简体"/>
          <w:sz w:val="28"/>
          <w:szCs w:val="28"/>
          <w:highlight w:val="none"/>
          <w:lang w:val="en-US" w:eastAsia="zh-CN"/>
        </w:rPr>
        <w:t>2.  材料支出,与2018年基本持平。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方正仿宋简体" w:hAnsi="方正仿宋简体" w:eastAsia="方正仿宋简体" w:cs="方正仿宋简体"/>
          <w:sz w:val="28"/>
          <w:szCs w:val="28"/>
          <w:highlight w:val="none"/>
          <w:lang w:val="en-US" w:eastAsia="zh-CN"/>
        </w:rPr>
        <w:t>3.  折旧费:与2018年基本持平</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32"/>
          <w:szCs w:val="32"/>
          <w:highlight w:val="none"/>
          <w:lang w:val="en-US" w:eastAsia="zh-CN"/>
        </w:rPr>
      </w:pPr>
    </w:p>
    <w:tbl>
      <w:tblPr>
        <w:tblStyle w:val="2"/>
        <w:tblW w:w="8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2"/>
        <w:gridCol w:w="2250"/>
        <w:gridCol w:w="1710"/>
        <w:gridCol w:w="3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2019年预算金额</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较2018年增幅比列</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编制依据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一、医疗业务成本</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67,883,080.89 </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41%</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（一）人员经费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34628913.35</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43%</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在职108人，聘用152人，新增专技人员90人（在职10人，聘用80人）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1、基本工资</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3,090,000.00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在职人员108人*2500*12+10人*3000*5核算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2、津补贴</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166848</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98人*118*12月+新增10人*116*12月（退休两人）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3、绩效工资</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6730000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与收入增长比例相关，按108人*5000*12+10人*5000*5核算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4、社会保障缴费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2,782,065.35</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37%</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缴费基数上调，增加40%、在职人员增涨10人，增加5%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5、其他工资福利支出</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20,810,000.00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69%</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专技聘用人员152人*8万+新增80人*6000*5个月+夜班等其他补助12万+聘用补助2万/人及在职补助3万/人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6、住房公积金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1,050,000.00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按152人*700*12核算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7.对个人和家庭的补助支出</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退休18人生活补助1.5万/人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（二）卫生材料</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8,878,176.83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比去年增加50%核算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（三）其他材料</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4,334,642.30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比去年增加10%核算（供应室6万，床单元5万，优质服务1.2万，增加医护服6万，窗帘2万,正常业务支出11万，宣传材料3万）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（四）药品费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10,749,353.16</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比去年增加12%核算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1、西药</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10,015,175.20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比去年增加11%核算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2、中草药</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734,177.96</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比去年增加20%核算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（五）折旧费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3,165,879.55</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186%</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1:住院大楼投入使用，购买设备增加，折旧费增加  2：重点专科建设设备投入121.5万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（六）无形资产摊销</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800,000.00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167%</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按信息化系统建设合同约定测算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（七）风险金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192,035.57</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39%</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按医院医疗收入增长3‰核算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（七）其他费用</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5,934,080.13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87%</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1、办公费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-774%</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住院楼投入使用科室支出增加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2、印刷费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12,554.93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住院楼投入使用科室支出增加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3、咨询费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#DIV/0!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4、水费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172,224.40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住院楼投入使用科室支出增加100%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5、电费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786,548.85</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住院楼投入使用科室支出增加100%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 邮电费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10,714.50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信息化投入，纸质费用减少50%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 物业管理费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1,388,982.38</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根据2018年医院物管合同住院楼物管预算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 差旅费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84,744.00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增长50%核算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 维修（护）费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1,702,752.46</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385%</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科室改造增长100%核算（二甲达标流程改造100万）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 租赁费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-73%</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门诊摆花费用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 会议费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-68%</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临床科室参加会议费用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13.培训费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外科0.5万，内科0.5万，中医科0.5万，急诊科0.5万，门诊部0.5万，手术室0.5万，ICU0.5万，儿科0.5万元，放射科0.3万，特检科0.3万，检验科0.3万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14..公务接待费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#DIV/0!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压缩三公经费，无预算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15.低值易耗品</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7,981.42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16.劳务费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426,524.73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根据2018年支出增长200%预算（医联体劳务费30万，其他劳务费4.6万元，医疗6万、护理0.5万、院感0.5万、信息0.5万、后勤0.5万）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17 委托业务费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387,418.52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检验设备到位，外包业务减少50%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14.工会经费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511,891.92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34%</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根据2018年职工薪酬2%核算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公务用车运行维护费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162,681.51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急诊120业务增加，救护车费用增加200%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15.其他交通费用</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16.其他商品和服务支出</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198,260.51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二、管理费用</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10,242,528.95</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1、人员经费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6,257,530.82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在职人员18人,聘用11人，退休20人核算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基本工资</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648,000.00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在职18人*3000*12月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津补贴</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75,157.52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18人*116.5*12月+50000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绩效工资</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1,669,000.00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调整工资结构：基本工资增加，绩效减少，在职17人*6000*12+17*2.5万+夜班2万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社会保障缴费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646,886.30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缴费基数上调，增加40%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其他工资福利支出</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2,670,000.00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25%</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聘用人员11人*10万+聘用生活补助2万*40人+在职补助3万*18人+夜班3万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生活补助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360,000.00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退休18人生活补助1.5万/人，预算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住房公积金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188,487.00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在职17人*815.25*12月+聘用11人*168*12月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对个人和家庭补助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无抚恤费预算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2、卫生材料费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35,267.66</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3、其他材料</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194,469.40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4、固定资产折旧费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266,520.27</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基本持平（管理未增加固定资产）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6、提取医疗风险基金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#DIV/0!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7、其他费用</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3,488,740.80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39%</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增长15%核算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办公费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132,143.03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印刷费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224,350.63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咨询费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135,980.00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住院楼投入使用支出增加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手续费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3,866.50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水、电、气费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319,937.40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2900%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住院楼投入使用支出增加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邮电费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12,624.70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物业管理费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242,000.00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532%</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根据2018年医院物管合同住院楼物管预算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差旅费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84,076.30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增长20%核算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维修（护）费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700,210.90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增长10%核算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会议费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56%</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召开科室学术会议费用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租赁费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5,454.00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培训费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院感1万，信息0.5万，医务3万，护理3万，财务0.5万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公务接待费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#DIV/0!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低值易耗品</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5,041.78</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劳务费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6844%</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外聘专家5人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委托业务费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72,589.00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外包业务减少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工会经费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111,891.92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-72%</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公务用车运行维护费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25,144.12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根据2018年支出增长5%预算（急诊120支出增加）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其他交通费用</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1,155.00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根据2018年支出增长5%预算（急诊120支出增加）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其他商品和服务支出</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812,275.52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根据2018年支出增长15%预算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合计</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78125609.83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37%</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基本公共卫生补助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659,400.00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-82%</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按辖区人口62800*60元，三医院承担1-3月（按60%核算村站30%扣除）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重大公共卫生补助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-71%</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社区分离任务减少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卫生院基本药物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357,029.00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-55%</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医院承担1-3月25万元，社区承担4-9月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医联体工作经费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医联体对口支援补助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48,000.00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#DIV/0!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根据2019年医联体对口支援文件预算安排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特聘专家待遇</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423,675.60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102%</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根据特聘专家（王超）项目申报预测经费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引进人才激励资金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根据人才激励项目文件测算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大丰卫生院（社区）设施设备</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4,120,000.00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67%</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按2019年项目预算大丰社区申报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儿科专项经费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168,048.00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按儿科2018年申报门诊人次预算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志愿兵就业经费(按实核算)</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按2018年测算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2018年省级财政中医药发展专项资金（人才培养）</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中医人才培训计划测算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其他专项拨款</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300,000.00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33270%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根据重大公共卫生预算安排预算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2018年-2019年融资利息</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27,760,000.00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根据融资合同测算2019年利息及本金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住院楼医疗设备融资租赁经费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8,184,806.08</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根据设备融资合同测算2019年租赁费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非税征收业务费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300,000.00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根据疫苗销售测算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三医院开办资金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6,500,000.00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非税收入拨款200万（办公桌椅柜等设备210万元），中期开办费450万元（信息化建设120万元，电脑、打印机复印机等100万、标识标牌50万，医疗设备购置180万）。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乡村医生补助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全科医生转岗培训省级补助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全科医生补助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2018年医疗服务能力提升中央补助资金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服务能力提升中央和省级补助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计生免费服务技术专项资金</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区三医院购置急需医疗设备经费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项目小计</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49,140,958.68</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262%</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基本支出拨款</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全院合计</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127,266,568.51 </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82%</w:t>
            </w: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3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cstheme="minorEastAsia"/>
          <w:sz w:val="30"/>
          <w:szCs w:val="30"/>
          <w:highlight w:val="none"/>
          <w:lang w:val="en-US" w:eastAsia="zh-CN"/>
        </w:rPr>
      </w:pPr>
    </w:p>
    <w:p>
      <w:pPr>
        <w:rPr>
          <w:highlight w:val="none"/>
        </w:rPr>
      </w:pPr>
    </w:p>
    <w:sectPr>
      <w:pgSz w:w="11906" w:h="16838"/>
      <w:pgMar w:top="1984"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2F350"/>
    <w:multiLevelType w:val="singleLevel"/>
    <w:tmpl w:val="9822F350"/>
    <w:lvl w:ilvl="0" w:tentative="0">
      <w:start w:val="3"/>
      <w:numFmt w:val="chineseCounting"/>
      <w:suff w:val="nothing"/>
      <w:lvlText w:val="%1、"/>
      <w:lvlJc w:val="left"/>
      <w:rPr>
        <w:rFonts w:hint="eastAsia"/>
      </w:rPr>
    </w:lvl>
  </w:abstractNum>
  <w:abstractNum w:abstractNumId="1">
    <w:nsid w:val="AACD5D6A"/>
    <w:multiLevelType w:val="singleLevel"/>
    <w:tmpl w:val="AACD5D6A"/>
    <w:lvl w:ilvl="0" w:tentative="0">
      <w:start w:val="2"/>
      <w:numFmt w:val="decimal"/>
      <w:suff w:val="space"/>
      <w:lvlText w:val="%1."/>
      <w:lvlJc w:val="left"/>
    </w:lvl>
  </w:abstractNum>
  <w:abstractNum w:abstractNumId="2">
    <w:nsid w:val="C8743790"/>
    <w:multiLevelType w:val="singleLevel"/>
    <w:tmpl w:val="C8743790"/>
    <w:lvl w:ilvl="0" w:tentative="0">
      <w:start w:val="2"/>
      <w:numFmt w:val="chineseCounting"/>
      <w:suff w:val="nothing"/>
      <w:lvlText w:val="（%1）"/>
      <w:lvlJc w:val="left"/>
      <w:rPr>
        <w:rFonts w:hint="eastAsia"/>
      </w:rPr>
    </w:lvl>
  </w:abstractNum>
  <w:abstractNum w:abstractNumId="3">
    <w:nsid w:val="D5B79539"/>
    <w:multiLevelType w:val="singleLevel"/>
    <w:tmpl w:val="D5B79539"/>
    <w:lvl w:ilvl="0" w:tentative="0">
      <w:start w:val="1"/>
      <w:numFmt w:val="decimal"/>
      <w:suff w:val="space"/>
      <w:lvlText w:val="%1."/>
      <w:lvlJc w:val="left"/>
    </w:lvl>
  </w:abstractNum>
  <w:abstractNum w:abstractNumId="4">
    <w:nsid w:val="E450D41C"/>
    <w:multiLevelType w:val="singleLevel"/>
    <w:tmpl w:val="E450D41C"/>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6021"/>
    <w:rsid w:val="03D76021"/>
    <w:rsid w:val="2A35290D"/>
    <w:rsid w:val="2CE67334"/>
    <w:rsid w:val="3B6F5D06"/>
    <w:rsid w:val="3E8932D5"/>
    <w:rsid w:val="3E8D5E6B"/>
    <w:rsid w:val="4A055133"/>
    <w:rsid w:val="582320BC"/>
    <w:rsid w:val="58B352E2"/>
    <w:rsid w:val="5E027BA1"/>
    <w:rsid w:val="61850702"/>
    <w:rsid w:val="66752665"/>
    <w:rsid w:val="6D535020"/>
    <w:rsid w:val="6D7F345C"/>
    <w:rsid w:val="730120F2"/>
    <w:rsid w:val="74173CB2"/>
    <w:rsid w:val="7EE5161F"/>
    <w:rsid w:val="7FF0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0"/>
      <w:szCs w:val="20"/>
      <w:u w:val="none"/>
    </w:rPr>
  </w:style>
  <w:style w:type="character" w:customStyle="1" w:styleId="6">
    <w:name w:val="font2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2019-09-16T09:52:00Z</dcterms:created>
  <dc:creator>ai.禟禟</dc:creator>
  <cp:lastModifiedBy>ai.禟禟</cp:lastModifiedBy>
  <cp:lastPrinted>2023-11-10T05:54:00Z</cp:lastPrinted>
  <dcterms:modified xsi:type="dcterms:W3CDTF">2023-11-10T06:35:05Z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